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99F" w:rsidRPr="00D91685" w:rsidRDefault="006E499F" w:rsidP="006E499F">
      <w:pPr>
        <w:pStyle w:val="Table1"/>
        <w:rPr>
          <w:rFonts w:cs="Arial"/>
          <w:sz w:val="14"/>
          <w:szCs w:val="10"/>
        </w:rPr>
      </w:pPr>
      <w:bookmarkStart w:id="0" w:name="OLE_LINK1"/>
      <w:bookmarkStart w:id="1" w:name="_GoBack"/>
      <w:bookmarkEnd w:id="1"/>
    </w:p>
    <w:p w:rsidR="006E499F" w:rsidRPr="00D91685" w:rsidRDefault="00FE031B" w:rsidP="006E499F">
      <w:pPr>
        <w:shd w:val="clear" w:color="auto" w:fill="CCCCCC"/>
        <w:rPr>
          <w:rFonts w:ascii="Arial" w:hAnsi="Arial" w:cs="Arial"/>
          <w:b/>
          <w:sz w:val="32"/>
          <w:shd w:val="clear" w:color="auto" w:fill="CCCCCC"/>
        </w:rPr>
      </w:pPr>
      <w:r w:rsidRPr="00D91685">
        <w:rPr>
          <w:rFonts w:ascii="Arial" w:hAnsi="Arial" w:cs="Arial"/>
          <w:b/>
          <w:sz w:val="32"/>
          <w:shd w:val="clear" w:color="auto" w:fill="CCCCCC"/>
        </w:rPr>
        <w:t xml:space="preserve">Draft </w:t>
      </w:r>
      <w:r w:rsidR="009E629E" w:rsidRPr="00D91685">
        <w:rPr>
          <w:rFonts w:ascii="Arial" w:hAnsi="Arial" w:cs="Arial"/>
          <w:b/>
          <w:sz w:val="32"/>
          <w:shd w:val="clear" w:color="auto" w:fill="CCCCCC"/>
        </w:rPr>
        <w:t>Affordable Housing Policy</w:t>
      </w:r>
    </w:p>
    <w:p w:rsidR="006E499F" w:rsidRPr="00DB0317" w:rsidRDefault="006E499F" w:rsidP="006E499F">
      <w:pPr>
        <w:rPr>
          <w:rFonts w:ascii="Arial" w:hAnsi="Arial" w:cs="Arial"/>
          <w:sz w:val="22"/>
          <w:szCs w:val="22"/>
        </w:rPr>
      </w:pPr>
    </w:p>
    <w:p w:rsidR="006E499F" w:rsidRPr="008E08E7" w:rsidRDefault="006E499F" w:rsidP="00EF15E4">
      <w:pPr>
        <w:pBdr>
          <w:bottom w:val="single" w:sz="4" w:space="1" w:color="auto"/>
        </w:pBdr>
        <w:ind w:firstLine="360"/>
        <w:rPr>
          <w:rFonts w:ascii="Arial" w:hAnsi="Arial" w:cs="Arial"/>
          <w:b/>
          <w:szCs w:val="22"/>
        </w:rPr>
      </w:pPr>
      <w:r w:rsidRPr="008E08E7">
        <w:rPr>
          <w:rFonts w:ascii="Arial" w:hAnsi="Arial" w:cs="Arial"/>
          <w:b/>
          <w:szCs w:val="22"/>
        </w:rPr>
        <w:t>Contents</w:t>
      </w:r>
    </w:p>
    <w:p w:rsidR="006E499F" w:rsidRPr="00DB0317" w:rsidRDefault="006E499F" w:rsidP="006E499F">
      <w:pPr>
        <w:rPr>
          <w:rFonts w:ascii="Arial" w:hAnsi="Arial" w:cs="Arial"/>
          <w:sz w:val="22"/>
          <w:szCs w:val="22"/>
        </w:rPr>
      </w:pPr>
    </w:p>
    <w:p w:rsidR="009E629E" w:rsidRPr="009E629E" w:rsidRDefault="009E629E" w:rsidP="009E629E">
      <w:pPr>
        <w:pStyle w:val="ListParagraph"/>
        <w:numPr>
          <w:ilvl w:val="0"/>
          <w:numId w:val="1"/>
        </w:numPr>
        <w:rPr>
          <w:rFonts w:ascii="Arial" w:hAnsi="Arial" w:cs="Arial"/>
          <w:sz w:val="22"/>
          <w:szCs w:val="22"/>
        </w:rPr>
      </w:pPr>
      <w:r w:rsidRPr="009E629E">
        <w:rPr>
          <w:rFonts w:ascii="Arial" w:hAnsi="Arial" w:cs="Arial"/>
          <w:sz w:val="22"/>
          <w:szCs w:val="22"/>
        </w:rPr>
        <w:t>Background</w:t>
      </w:r>
    </w:p>
    <w:p w:rsidR="006E499F" w:rsidRPr="00DB0317" w:rsidRDefault="006E499F" w:rsidP="006E499F">
      <w:pPr>
        <w:numPr>
          <w:ilvl w:val="0"/>
          <w:numId w:val="1"/>
        </w:numPr>
        <w:rPr>
          <w:rFonts w:ascii="Arial" w:hAnsi="Arial" w:cs="Arial"/>
          <w:sz w:val="22"/>
          <w:szCs w:val="22"/>
        </w:rPr>
      </w:pPr>
      <w:r w:rsidRPr="00DB0317">
        <w:rPr>
          <w:rFonts w:ascii="Arial" w:hAnsi="Arial" w:cs="Arial"/>
          <w:sz w:val="22"/>
          <w:szCs w:val="22"/>
        </w:rPr>
        <w:t>Scope</w:t>
      </w:r>
    </w:p>
    <w:p w:rsidR="006E499F" w:rsidRPr="00DB0317" w:rsidRDefault="006E499F" w:rsidP="006E499F">
      <w:pPr>
        <w:numPr>
          <w:ilvl w:val="0"/>
          <w:numId w:val="1"/>
        </w:numPr>
        <w:rPr>
          <w:rFonts w:ascii="Arial" w:hAnsi="Arial" w:cs="Arial"/>
          <w:sz w:val="22"/>
          <w:szCs w:val="22"/>
        </w:rPr>
      </w:pPr>
      <w:r w:rsidRPr="00DB0317">
        <w:rPr>
          <w:rFonts w:ascii="Arial" w:hAnsi="Arial" w:cs="Arial"/>
          <w:sz w:val="22"/>
          <w:szCs w:val="22"/>
        </w:rPr>
        <w:t>Purpose</w:t>
      </w:r>
    </w:p>
    <w:p w:rsidR="006E499F" w:rsidRPr="00DB0317" w:rsidRDefault="006E499F" w:rsidP="006E499F">
      <w:pPr>
        <w:numPr>
          <w:ilvl w:val="0"/>
          <w:numId w:val="1"/>
        </w:numPr>
        <w:rPr>
          <w:rFonts w:ascii="Arial" w:hAnsi="Arial" w:cs="Arial"/>
          <w:sz w:val="22"/>
          <w:szCs w:val="22"/>
        </w:rPr>
      </w:pPr>
      <w:r w:rsidRPr="00DB0317">
        <w:rPr>
          <w:rFonts w:ascii="Arial" w:hAnsi="Arial" w:cs="Arial"/>
          <w:sz w:val="22"/>
          <w:szCs w:val="22"/>
        </w:rPr>
        <w:t>Policy</w:t>
      </w:r>
    </w:p>
    <w:p w:rsidR="006E499F" w:rsidRPr="00DB0317" w:rsidRDefault="006E499F" w:rsidP="006E499F">
      <w:pPr>
        <w:numPr>
          <w:ilvl w:val="0"/>
          <w:numId w:val="1"/>
        </w:numPr>
        <w:rPr>
          <w:rFonts w:ascii="Arial" w:hAnsi="Arial" w:cs="Arial"/>
          <w:sz w:val="22"/>
          <w:szCs w:val="22"/>
        </w:rPr>
      </w:pPr>
      <w:r w:rsidRPr="00DB0317">
        <w:rPr>
          <w:rFonts w:ascii="Arial" w:hAnsi="Arial" w:cs="Arial"/>
          <w:sz w:val="22"/>
          <w:szCs w:val="22"/>
        </w:rPr>
        <w:t>Procedure</w:t>
      </w:r>
    </w:p>
    <w:p w:rsidR="006E499F" w:rsidRPr="00DB0317" w:rsidRDefault="006E499F" w:rsidP="006E499F">
      <w:pPr>
        <w:numPr>
          <w:ilvl w:val="0"/>
          <w:numId w:val="1"/>
        </w:numPr>
        <w:rPr>
          <w:rFonts w:ascii="Arial" w:hAnsi="Arial" w:cs="Arial"/>
          <w:sz w:val="22"/>
          <w:szCs w:val="22"/>
        </w:rPr>
      </w:pPr>
      <w:r w:rsidRPr="00DB0317">
        <w:rPr>
          <w:rFonts w:ascii="Arial" w:hAnsi="Arial" w:cs="Arial"/>
          <w:sz w:val="22"/>
          <w:szCs w:val="22"/>
        </w:rPr>
        <w:t>Definitions</w:t>
      </w:r>
    </w:p>
    <w:p w:rsidR="006E499F" w:rsidRDefault="006E499F" w:rsidP="006E499F">
      <w:pPr>
        <w:pBdr>
          <w:bottom w:val="single" w:sz="4" w:space="1" w:color="auto"/>
        </w:pBdr>
        <w:rPr>
          <w:rFonts w:ascii="Arial" w:hAnsi="Arial" w:cs="Arial"/>
          <w:sz w:val="22"/>
          <w:szCs w:val="22"/>
        </w:rPr>
      </w:pPr>
    </w:p>
    <w:p w:rsidR="009E629E" w:rsidRPr="00DB0317" w:rsidRDefault="009E629E" w:rsidP="009E629E">
      <w:pPr>
        <w:pBdr>
          <w:bottom w:val="single" w:sz="4" w:space="1" w:color="auto"/>
        </w:pBdr>
        <w:rPr>
          <w:rFonts w:ascii="Arial" w:hAnsi="Arial" w:cs="Arial"/>
          <w:sz w:val="22"/>
          <w:szCs w:val="22"/>
        </w:rPr>
      </w:pPr>
    </w:p>
    <w:p w:rsidR="009E629E" w:rsidRPr="008E10E6" w:rsidRDefault="009E629E" w:rsidP="00A20897">
      <w:pPr>
        <w:pStyle w:val="ListParagraph"/>
        <w:numPr>
          <w:ilvl w:val="0"/>
          <w:numId w:val="5"/>
        </w:numPr>
        <w:ind w:left="426" w:hanging="426"/>
        <w:rPr>
          <w:rFonts w:ascii="Arial" w:hAnsi="Arial" w:cs="Arial"/>
          <w:b/>
          <w:sz w:val="28"/>
          <w:szCs w:val="22"/>
        </w:rPr>
      </w:pPr>
      <w:r w:rsidRPr="008E10E6">
        <w:rPr>
          <w:rFonts w:ascii="Arial" w:hAnsi="Arial" w:cs="Arial"/>
          <w:b/>
          <w:sz w:val="28"/>
          <w:szCs w:val="22"/>
        </w:rPr>
        <w:t>Background</w:t>
      </w:r>
    </w:p>
    <w:p w:rsidR="009E629E" w:rsidRDefault="009E629E" w:rsidP="009E629E">
      <w:pPr>
        <w:rPr>
          <w:rFonts w:ascii="Arial" w:hAnsi="Arial" w:cs="Arial"/>
          <w:b/>
          <w:sz w:val="22"/>
          <w:szCs w:val="22"/>
        </w:rPr>
      </w:pPr>
    </w:p>
    <w:p w:rsidR="009B01AA" w:rsidRDefault="009B01AA" w:rsidP="00AA7239">
      <w:pPr>
        <w:jc w:val="both"/>
        <w:rPr>
          <w:rFonts w:ascii="Arial" w:hAnsi="Arial" w:cs="Arial"/>
          <w:sz w:val="22"/>
        </w:rPr>
      </w:pPr>
      <w:r>
        <w:rPr>
          <w:rFonts w:ascii="Arial" w:hAnsi="Arial" w:cs="Arial"/>
          <w:sz w:val="22"/>
        </w:rPr>
        <w:t>Housing affordability is a critical issue in the City of Parramatta</w:t>
      </w:r>
      <w:r w:rsidR="003906B0">
        <w:rPr>
          <w:rFonts w:ascii="Arial" w:hAnsi="Arial" w:cs="Arial"/>
          <w:sz w:val="22"/>
        </w:rPr>
        <w:t xml:space="preserve"> Local Government Area (Parramatta)</w:t>
      </w:r>
      <w:r>
        <w:rPr>
          <w:rFonts w:ascii="Arial" w:hAnsi="Arial" w:cs="Arial"/>
          <w:sz w:val="22"/>
        </w:rPr>
        <w:t xml:space="preserve"> and across Greater Sydney. The Reserve Bank confirmed that Sydney house prices have risen by 18.9% in the 12 months to March 2017. The NSW Premier Gladys </w:t>
      </w:r>
      <w:proofErr w:type="spellStart"/>
      <w:r>
        <w:rPr>
          <w:rFonts w:ascii="Arial" w:hAnsi="Arial" w:cs="Arial"/>
          <w:sz w:val="22"/>
        </w:rPr>
        <w:t>Berejiklian</w:t>
      </w:r>
      <w:proofErr w:type="spellEnd"/>
      <w:r>
        <w:rPr>
          <w:rFonts w:ascii="Arial" w:hAnsi="Arial" w:cs="Arial"/>
          <w:sz w:val="22"/>
        </w:rPr>
        <w:t xml:space="preserve"> declared housing affordability to be “the biggest issue people have across the state.”</w:t>
      </w:r>
    </w:p>
    <w:p w:rsidR="009B01AA" w:rsidRDefault="009B01AA" w:rsidP="00AA7239">
      <w:pPr>
        <w:jc w:val="both"/>
        <w:rPr>
          <w:rFonts w:ascii="Arial" w:hAnsi="Arial" w:cs="Arial"/>
          <w:sz w:val="22"/>
        </w:rPr>
      </w:pPr>
    </w:p>
    <w:p w:rsidR="00EE6DF2" w:rsidRDefault="00EE6DF2" w:rsidP="00AA7239">
      <w:pPr>
        <w:jc w:val="both"/>
        <w:rPr>
          <w:rFonts w:ascii="Arial" w:hAnsi="Arial" w:cs="Arial"/>
          <w:sz w:val="22"/>
        </w:rPr>
      </w:pPr>
      <w:r w:rsidRPr="0034383B">
        <w:rPr>
          <w:rFonts w:ascii="Arial" w:hAnsi="Arial" w:cs="Arial"/>
          <w:sz w:val="22"/>
        </w:rPr>
        <w:t xml:space="preserve">The Centre for Affordable Housing rates Parramatta as having a high affordable housing </w:t>
      </w:r>
      <w:r>
        <w:rPr>
          <w:rFonts w:ascii="Arial" w:hAnsi="Arial" w:cs="Arial"/>
          <w:sz w:val="22"/>
        </w:rPr>
        <w:t>need</w:t>
      </w:r>
      <w:r w:rsidRPr="0034383B">
        <w:rPr>
          <w:rFonts w:ascii="Arial" w:hAnsi="Arial" w:cs="Arial"/>
          <w:sz w:val="22"/>
        </w:rPr>
        <w:t>.</w:t>
      </w:r>
      <w:r w:rsidRPr="0034383B">
        <w:rPr>
          <w:rStyle w:val="FootnoteReference"/>
          <w:rFonts w:ascii="Arial" w:hAnsi="Arial" w:cs="Arial"/>
          <w:sz w:val="22"/>
        </w:rPr>
        <w:footnoteReference w:id="1"/>
      </w:r>
      <w:r w:rsidRPr="0034383B">
        <w:rPr>
          <w:rFonts w:ascii="Arial" w:hAnsi="Arial" w:cs="Arial"/>
          <w:sz w:val="22"/>
        </w:rPr>
        <w:t xml:space="preserve"> Until recently, Parramatta was considered a relatively affordable part of Sydney. This has changed significantly. The City’s cost advantage for the period 2010 - 2014 fell from 8% to only 2%.</w:t>
      </w:r>
      <w:r w:rsidRPr="0034383B">
        <w:rPr>
          <w:rStyle w:val="FootnoteReference"/>
          <w:rFonts w:ascii="Arial" w:hAnsi="Arial" w:cs="Arial"/>
          <w:sz w:val="22"/>
        </w:rPr>
        <w:footnoteReference w:id="2"/>
      </w:r>
      <w:r w:rsidRPr="0034383B">
        <w:rPr>
          <w:rFonts w:ascii="Arial" w:hAnsi="Arial" w:cs="Arial"/>
          <w:sz w:val="22"/>
        </w:rPr>
        <w:t xml:space="preserve"> </w:t>
      </w:r>
      <w:r>
        <w:rPr>
          <w:rFonts w:ascii="Arial" w:hAnsi="Arial" w:cs="Arial"/>
          <w:sz w:val="22"/>
        </w:rPr>
        <w:t xml:space="preserve">Given the continued rise in property prices and relatively low wage growth in subsequent years, it is likely that affordability in the City has declined further. </w:t>
      </w:r>
    </w:p>
    <w:p w:rsidR="00EE6DF2" w:rsidRDefault="00EE6DF2" w:rsidP="00AA7239">
      <w:pPr>
        <w:jc w:val="both"/>
        <w:rPr>
          <w:rFonts w:ascii="Arial" w:hAnsi="Arial" w:cs="Arial"/>
          <w:sz w:val="22"/>
        </w:rPr>
      </w:pPr>
    </w:p>
    <w:p w:rsidR="0034383B" w:rsidRDefault="006F46D6" w:rsidP="00AA7239">
      <w:pPr>
        <w:jc w:val="both"/>
        <w:rPr>
          <w:rFonts w:ascii="Arial" w:hAnsi="Arial" w:cs="Arial"/>
          <w:sz w:val="22"/>
        </w:rPr>
      </w:pPr>
      <w:r w:rsidRPr="006F46D6">
        <w:rPr>
          <w:rFonts w:ascii="Arial" w:hAnsi="Arial" w:cs="Arial"/>
          <w:sz w:val="22"/>
        </w:rPr>
        <w:t>Parramatta is Sydney’s Central City, the demographic and geographic heart of the Sydney region, and the centre of the expanding Greater Wester</w:t>
      </w:r>
      <w:r>
        <w:rPr>
          <w:rFonts w:ascii="Arial" w:hAnsi="Arial" w:cs="Arial"/>
          <w:sz w:val="22"/>
        </w:rPr>
        <w:t>n</w:t>
      </w:r>
      <w:r w:rsidRPr="006F46D6">
        <w:rPr>
          <w:rFonts w:ascii="Arial" w:hAnsi="Arial" w:cs="Arial"/>
          <w:sz w:val="22"/>
        </w:rPr>
        <w:t xml:space="preserve"> Sydney region. In 2016, Parramatta was home to over 230,000 people, and the population is set to grow to nearly 400,000 over the next two decades to 2036. Public and private investment is d</w:t>
      </w:r>
      <w:r w:rsidR="003906B0">
        <w:rPr>
          <w:rFonts w:ascii="Arial" w:hAnsi="Arial" w:cs="Arial"/>
          <w:sz w:val="22"/>
        </w:rPr>
        <w:t xml:space="preserve">riving growth and change in </w:t>
      </w:r>
      <w:r w:rsidRPr="006F46D6">
        <w:rPr>
          <w:rFonts w:ascii="Arial" w:hAnsi="Arial" w:cs="Arial"/>
          <w:sz w:val="22"/>
        </w:rPr>
        <w:t>Parramatta, including rising property prices. Housing affordability has become a critical issue for the social sustainability, wellbeing and resilience of all people in our community.</w:t>
      </w:r>
    </w:p>
    <w:p w:rsidR="00FD0101" w:rsidRDefault="00FD0101" w:rsidP="00AA7239">
      <w:pPr>
        <w:jc w:val="both"/>
        <w:rPr>
          <w:rFonts w:ascii="Arial" w:hAnsi="Arial" w:cs="Arial"/>
          <w:sz w:val="22"/>
        </w:rPr>
      </w:pPr>
    </w:p>
    <w:p w:rsidR="00CA42E3" w:rsidRDefault="0034383B" w:rsidP="00AA7239">
      <w:pPr>
        <w:jc w:val="both"/>
        <w:rPr>
          <w:rFonts w:ascii="Arial" w:hAnsi="Arial" w:cs="Arial"/>
          <w:sz w:val="22"/>
        </w:rPr>
      </w:pPr>
      <w:r w:rsidRPr="006A37BA">
        <w:rPr>
          <w:rFonts w:ascii="Arial" w:hAnsi="Arial" w:cs="Arial"/>
          <w:sz w:val="22"/>
        </w:rPr>
        <w:t>As Parramatta continues to realise its vision as Sydney’</w:t>
      </w:r>
      <w:r w:rsidR="00E37508" w:rsidRPr="006A37BA">
        <w:rPr>
          <w:rFonts w:ascii="Arial" w:hAnsi="Arial" w:cs="Arial"/>
          <w:sz w:val="22"/>
        </w:rPr>
        <w:t>s C</w:t>
      </w:r>
      <w:r w:rsidRPr="006A37BA">
        <w:rPr>
          <w:rFonts w:ascii="Arial" w:hAnsi="Arial" w:cs="Arial"/>
          <w:sz w:val="22"/>
        </w:rPr>
        <w:t>entral City, demand for housing will increase and in turn will lead to higher unaffordability.</w:t>
      </w:r>
      <w:r w:rsidR="006A37BA">
        <w:rPr>
          <w:rFonts w:ascii="Arial" w:hAnsi="Arial" w:cs="Arial"/>
          <w:sz w:val="22"/>
        </w:rPr>
        <w:t xml:space="preserve"> Census data from 2011 tells us that housing</w:t>
      </w:r>
      <w:r w:rsidR="006405AD">
        <w:rPr>
          <w:rFonts w:ascii="Arial" w:hAnsi="Arial" w:cs="Arial"/>
          <w:sz w:val="22"/>
        </w:rPr>
        <w:t xml:space="preserve"> stress impacts </w:t>
      </w:r>
      <w:r w:rsidR="006A37BA">
        <w:rPr>
          <w:rFonts w:ascii="Arial" w:hAnsi="Arial" w:cs="Arial"/>
          <w:sz w:val="22"/>
        </w:rPr>
        <w:t xml:space="preserve">Parramatta’s residents, and we expect the 2016 Census data to show that housing stress has worsened </w:t>
      </w:r>
      <w:r w:rsidR="00EE6DF2">
        <w:rPr>
          <w:rFonts w:ascii="Arial" w:hAnsi="Arial" w:cs="Arial"/>
          <w:sz w:val="22"/>
        </w:rPr>
        <w:t>over the last five years</w:t>
      </w:r>
      <w:r w:rsidR="006A37BA">
        <w:rPr>
          <w:rFonts w:ascii="Arial" w:hAnsi="Arial" w:cs="Arial"/>
          <w:sz w:val="22"/>
        </w:rPr>
        <w:t xml:space="preserve"> when this data is released in mid-2017.</w:t>
      </w:r>
    </w:p>
    <w:p w:rsidR="00CA42E3" w:rsidRDefault="00CA42E3" w:rsidP="0034383B">
      <w:pPr>
        <w:rPr>
          <w:rFonts w:ascii="Arial" w:hAnsi="Arial" w:cs="Arial"/>
          <w:sz w:val="22"/>
        </w:rPr>
      </w:pPr>
    </w:p>
    <w:p w:rsidR="0075678C" w:rsidRDefault="0075678C" w:rsidP="00CA42E3">
      <w:pPr>
        <w:rPr>
          <w:rFonts w:ascii="Arial" w:hAnsi="Arial" w:cs="Arial"/>
          <w:sz w:val="22"/>
        </w:rPr>
      </w:pPr>
    </w:p>
    <w:p w:rsidR="001059D9" w:rsidRDefault="001059D9" w:rsidP="00CA42E3">
      <w:pPr>
        <w:rPr>
          <w:rFonts w:ascii="Arial" w:hAnsi="Arial" w:cs="Arial"/>
          <w:sz w:val="22"/>
        </w:rPr>
      </w:pPr>
    </w:p>
    <w:p w:rsidR="00E34515" w:rsidRPr="008E10E6" w:rsidRDefault="00E34515" w:rsidP="00CA42E3">
      <w:pPr>
        <w:rPr>
          <w:rFonts w:ascii="Arial" w:hAnsi="Arial" w:cs="Arial"/>
          <w:b/>
        </w:rPr>
      </w:pPr>
      <w:r w:rsidRPr="008E10E6">
        <w:rPr>
          <w:rFonts w:ascii="Arial" w:hAnsi="Arial" w:cs="Arial"/>
          <w:b/>
        </w:rPr>
        <w:lastRenderedPageBreak/>
        <w:t>1.1 Affordable Housing Policy 2009</w:t>
      </w:r>
    </w:p>
    <w:p w:rsidR="00E34515" w:rsidRDefault="00E34515" w:rsidP="00AA7239">
      <w:pPr>
        <w:jc w:val="both"/>
        <w:rPr>
          <w:rFonts w:ascii="Arial" w:hAnsi="Arial" w:cs="Arial"/>
          <w:sz w:val="22"/>
        </w:rPr>
      </w:pPr>
      <w:r>
        <w:rPr>
          <w:rFonts w:ascii="Arial" w:hAnsi="Arial" w:cs="Arial"/>
          <w:sz w:val="22"/>
        </w:rPr>
        <w:t>This Pol</w:t>
      </w:r>
      <w:r w:rsidRPr="00E34515">
        <w:rPr>
          <w:rFonts w:ascii="Arial" w:hAnsi="Arial" w:cs="Arial"/>
          <w:sz w:val="22"/>
        </w:rPr>
        <w:t>icy</w:t>
      </w:r>
      <w:r>
        <w:rPr>
          <w:rFonts w:ascii="Arial" w:hAnsi="Arial" w:cs="Arial"/>
          <w:sz w:val="22"/>
        </w:rPr>
        <w:t xml:space="preserve"> </w:t>
      </w:r>
      <w:r w:rsidR="00C2691D">
        <w:rPr>
          <w:rFonts w:ascii="Arial" w:hAnsi="Arial" w:cs="Arial"/>
          <w:sz w:val="22"/>
        </w:rPr>
        <w:t xml:space="preserve">revises and builds on the achievements of </w:t>
      </w:r>
      <w:r>
        <w:rPr>
          <w:rFonts w:ascii="Arial" w:hAnsi="Arial" w:cs="Arial"/>
          <w:sz w:val="22"/>
        </w:rPr>
        <w:t xml:space="preserve">Council’s Affordable Housing Policy 2009. </w:t>
      </w:r>
      <w:r w:rsidR="00C2691D">
        <w:rPr>
          <w:rFonts w:ascii="Arial" w:hAnsi="Arial" w:cs="Arial"/>
          <w:sz w:val="22"/>
        </w:rPr>
        <w:t xml:space="preserve">Under the 2009 Policy, Council commenced its work to address the issue of housing affordability in the then Parramatta City Council local government area. This updated Policy underpins Council’s continued commitment to addressing this issue. </w:t>
      </w:r>
      <w:r>
        <w:rPr>
          <w:rFonts w:ascii="Arial" w:hAnsi="Arial" w:cs="Arial"/>
          <w:sz w:val="22"/>
        </w:rPr>
        <w:t xml:space="preserve">The achievements </w:t>
      </w:r>
      <w:r w:rsidR="00C2691D">
        <w:rPr>
          <w:rFonts w:ascii="Arial" w:hAnsi="Arial" w:cs="Arial"/>
          <w:sz w:val="22"/>
        </w:rPr>
        <w:t>of</w:t>
      </w:r>
      <w:r>
        <w:rPr>
          <w:rFonts w:ascii="Arial" w:hAnsi="Arial" w:cs="Arial"/>
          <w:sz w:val="22"/>
        </w:rPr>
        <w:t xml:space="preserve"> Council’s Affordable Housing Policy 2009 </w:t>
      </w:r>
      <w:r w:rsidR="00C2691D">
        <w:rPr>
          <w:rFonts w:ascii="Arial" w:hAnsi="Arial" w:cs="Arial"/>
          <w:sz w:val="22"/>
        </w:rPr>
        <w:t>include</w:t>
      </w:r>
      <w:r>
        <w:rPr>
          <w:rFonts w:ascii="Arial" w:hAnsi="Arial" w:cs="Arial"/>
          <w:sz w:val="22"/>
        </w:rPr>
        <w:t>:</w:t>
      </w:r>
    </w:p>
    <w:p w:rsidR="00C2691D" w:rsidRPr="00C2691D" w:rsidRDefault="00C2691D" w:rsidP="00AA7239">
      <w:pPr>
        <w:jc w:val="both"/>
        <w:rPr>
          <w:rFonts w:ascii="Arial" w:hAnsi="Arial" w:cs="Arial"/>
          <w:b/>
          <w:sz w:val="22"/>
          <w:u w:val="single"/>
        </w:rPr>
      </w:pPr>
    </w:p>
    <w:p w:rsidR="00C2691D" w:rsidRPr="00C2691D" w:rsidRDefault="00C2691D" w:rsidP="00AA7239">
      <w:pPr>
        <w:pStyle w:val="ListParagraph"/>
        <w:numPr>
          <w:ilvl w:val="0"/>
          <w:numId w:val="28"/>
        </w:numPr>
        <w:jc w:val="both"/>
        <w:rPr>
          <w:rFonts w:ascii="Arial" w:hAnsi="Arial" w:cs="Arial"/>
          <w:sz w:val="22"/>
        </w:rPr>
      </w:pPr>
      <w:r>
        <w:rPr>
          <w:rFonts w:ascii="Arial" w:hAnsi="Arial" w:cs="Arial"/>
          <w:sz w:val="22"/>
        </w:rPr>
        <w:t>Developing an Affordable Housing Bank of seven affordable rental dwellings using voluntary planning agreement contributions from private developers;</w:t>
      </w:r>
    </w:p>
    <w:p w:rsidR="00E34515" w:rsidRDefault="00E34515" w:rsidP="00AA7239">
      <w:pPr>
        <w:pStyle w:val="ListParagraph"/>
        <w:numPr>
          <w:ilvl w:val="0"/>
          <w:numId w:val="28"/>
        </w:numPr>
        <w:jc w:val="both"/>
        <w:rPr>
          <w:rFonts w:ascii="Arial" w:hAnsi="Arial" w:cs="Arial"/>
          <w:sz w:val="22"/>
        </w:rPr>
      </w:pPr>
      <w:r>
        <w:rPr>
          <w:rFonts w:ascii="Arial" w:hAnsi="Arial" w:cs="Arial"/>
          <w:sz w:val="22"/>
        </w:rPr>
        <w:t>Producing housing stress and key worker research reports;</w:t>
      </w:r>
    </w:p>
    <w:p w:rsidR="00E34515" w:rsidRDefault="00E34515" w:rsidP="00AA7239">
      <w:pPr>
        <w:pStyle w:val="ListParagraph"/>
        <w:numPr>
          <w:ilvl w:val="0"/>
          <w:numId w:val="28"/>
        </w:numPr>
        <w:jc w:val="both"/>
        <w:rPr>
          <w:rFonts w:ascii="Arial" w:hAnsi="Arial" w:cs="Arial"/>
          <w:sz w:val="22"/>
        </w:rPr>
      </w:pPr>
      <w:r>
        <w:rPr>
          <w:rFonts w:ascii="Arial" w:hAnsi="Arial" w:cs="Arial"/>
          <w:sz w:val="22"/>
        </w:rPr>
        <w:t>Reviewing boarding houses in the LGA;</w:t>
      </w:r>
    </w:p>
    <w:p w:rsidR="00E34515" w:rsidRDefault="00E34515" w:rsidP="00AA7239">
      <w:pPr>
        <w:pStyle w:val="ListParagraph"/>
        <w:numPr>
          <w:ilvl w:val="0"/>
          <w:numId w:val="28"/>
        </w:numPr>
        <w:jc w:val="both"/>
        <w:rPr>
          <w:rFonts w:ascii="Arial" w:hAnsi="Arial" w:cs="Arial"/>
          <w:sz w:val="22"/>
        </w:rPr>
      </w:pPr>
      <w:r>
        <w:rPr>
          <w:rFonts w:ascii="Arial" w:hAnsi="Arial" w:cs="Arial"/>
          <w:sz w:val="22"/>
        </w:rPr>
        <w:t xml:space="preserve">Developing a shortlist of </w:t>
      </w:r>
      <w:r w:rsidR="00C2691D">
        <w:rPr>
          <w:rFonts w:ascii="Arial" w:hAnsi="Arial" w:cs="Arial"/>
          <w:sz w:val="22"/>
        </w:rPr>
        <w:t xml:space="preserve">pre-approved </w:t>
      </w:r>
      <w:r>
        <w:rPr>
          <w:rFonts w:ascii="Arial" w:hAnsi="Arial" w:cs="Arial"/>
          <w:sz w:val="22"/>
        </w:rPr>
        <w:t>Community Housing Providers with whom Council could work; and</w:t>
      </w:r>
    </w:p>
    <w:p w:rsidR="00E34515" w:rsidRPr="00E34515" w:rsidRDefault="00E34515" w:rsidP="00AA7239">
      <w:pPr>
        <w:pStyle w:val="ListParagraph"/>
        <w:numPr>
          <w:ilvl w:val="0"/>
          <w:numId w:val="28"/>
        </w:numPr>
        <w:jc w:val="both"/>
        <w:rPr>
          <w:rFonts w:ascii="Arial" w:hAnsi="Arial" w:cs="Arial"/>
          <w:sz w:val="22"/>
        </w:rPr>
      </w:pPr>
      <w:r>
        <w:rPr>
          <w:rFonts w:ascii="Arial" w:hAnsi="Arial" w:cs="Arial"/>
          <w:sz w:val="22"/>
        </w:rPr>
        <w:t xml:space="preserve">Participating in the then NSW Government’s working group to review the Affordable Rental Housing State Environmental Planning Policy (ARH SEPP) 2009. </w:t>
      </w:r>
    </w:p>
    <w:p w:rsidR="00E34515" w:rsidRDefault="00E34515" w:rsidP="00AA7239">
      <w:pPr>
        <w:jc w:val="both"/>
        <w:rPr>
          <w:rFonts w:ascii="Arial" w:hAnsi="Arial" w:cs="Arial"/>
          <w:b/>
          <w:sz w:val="22"/>
        </w:rPr>
      </w:pPr>
    </w:p>
    <w:p w:rsidR="00A50D3D" w:rsidRPr="008E10E6" w:rsidRDefault="00E34515" w:rsidP="00AA7239">
      <w:pPr>
        <w:jc w:val="both"/>
        <w:rPr>
          <w:rFonts w:ascii="Arial" w:hAnsi="Arial" w:cs="Arial"/>
          <w:b/>
        </w:rPr>
      </w:pPr>
      <w:r w:rsidRPr="008E10E6">
        <w:rPr>
          <w:rFonts w:ascii="Arial" w:hAnsi="Arial" w:cs="Arial"/>
          <w:b/>
        </w:rPr>
        <w:t>1.2</w:t>
      </w:r>
      <w:r w:rsidR="00A50D3D" w:rsidRPr="008E10E6">
        <w:rPr>
          <w:rFonts w:ascii="Arial" w:hAnsi="Arial" w:cs="Arial"/>
          <w:b/>
        </w:rPr>
        <w:t xml:space="preserve"> What is affordable housing?</w:t>
      </w:r>
    </w:p>
    <w:p w:rsidR="000C296A" w:rsidRDefault="007C2DA3" w:rsidP="00AA7239">
      <w:pPr>
        <w:jc w:val="both"/>
        <w:rPr>
          <w:rFonts w:ascii="Arial" w:hAnsi="Arial" w:cs="Arial"/>
          <w:sz w:val="22"/>
        </w:rPr>
      </w:pPr>
      <w:r>
        <w:rPr>
          <w:rFonts w:ascii="Arial" w:hAnsi="Arial" w:cs="Arial"/>
          <w:sz w:val="22"/>
        </w:rPr>
        <w:t xml:space="preserve">This Policy </w:t>
      </w:r>
      <w:r w:rsidR="00344D6C">
        <w:rPr>
          <w:rFonts w:ascii="Arial" w:hAnsi="Arial" w:cs="Arial"/>
          <w:sz w:val="22"/>
        </w:rPr>
        <w:t xml:space="preserve">is primarily concerned with </w:t>
      </w:r>
      <w:r>
        <w:rPr>
          <w:rFonts w:ascii="Arial" w:hAnsi="Arial" w:cs="Arial"/>
          <w:sz w:val="22"/>
        </w:rPr>
        <w:t>encouraging the provision of affordable rental housing</w:t>
      </w:r>
      <w:r w:rsidR="00B87852">
        <w:rPr>
          <w:rFonts w:ascii="Arial" w:hAnsi="Arial" w:cs="Arial"/>
          <w:sz w:val="22"/>
        </w:rPr>
        <w:t xml:space="preserve"> as per the following definition: </w:t>
      </w:r>
    </w:p>
    <w:p w:rsidR="000C296A" w:rsidRDefault="000C296A" w:rsidP="00AA7239">
      <w:pPr>
        <w:jc w:val="both"/>
        <w:rPr>
          <w:rFonts w:ascii="Arial" w:hAnsi="Arial" w:cs="Arial"/>
          <w:sz w:val="22"/>
        </w:rPr>
      </w:pPr>
    </w:p>
    <w:tbl>
      <w:tblPr>
        <w:tblStyle w:val="TableGrid"/>
        <w:tblW w:w="0" w:type="auto"/>
        <w:jc w:val="center"/>
        <w:tblLook w:val="04A0" w:firstRow="1" w:lastRow="0" w:firstColumn="1" w:lastColumn="0" w:noHBand="0" w:noVBand="1"/>
      </w:tblPr>
      <w:tblGrid>
        <w:gridCol w:w="8217"/>
      </w:tblGrid>
      <w:tr w:rsidR="000C296A" w:rsidTr="000C296A">
        <w:trPr>
          <w:jc w:val="center"/>
        </w:trPr>
        <w:tc>
          <w:tcPr>
            <w:tcW w:w="8217" w:type="dxa"/>
          </w:tcPr>
          <w:p w:rsidR="000C296A" w:rsidRPr="000C296A" w:rsidRDefault="000C296A" w:rsidP="00660A14">
            <w:pPr>
              <w:spacing w:after="150"/>
              <w:rPr>
                <w:rFonts w:ascii="Arial" w:hAnsi="Arial" w:cs="Arial"/>
                <w:sz w:val="22"/>
                <w:szCs w:val="18"/>
              </w:rPr>
            </w:pPr>
            <w:r w:rsidRPr="00B87852">
              <w:rPr>
                <w:rFonts w:ascii="Arial" w:hAnsi="Arial" w:cs="Arial"/>
                <w:sz w:val="22"/>
                <w:szCs w:val="18"/>
              </w:rPr>
              <w:t xml:space="preserve">Affordable </w:t>
            </w:r>
            <w:r>
              <w:rPr>
                <w:rFonts w:ascii="Arial" w:hAnsi="Arial" w:cs="Arial"/>
                <w:sz w:val="22"/>
                <w:szCs w:val="18"/>
              </w:rPr>
              <w:t xml:space="preserve">rental </w:t>
            </w:r>
            <w:r w:rsidRPr="00B87852">
              <w:rPr>
                <w:rFonts w:ascii="Arial" w:hAnsi="Arial" w:cs="Arial"/>
                <w:sz w:val="22"/>
                <w:szCs w:val="18"/>
              </w:rPr>
              <w:t xml:space="preserve">housing is </w:t>
            </w:r>
            <w:r>
              <w:rPr>
                <w:rFonts w:ascii="Arial" w:hAnsi="Arial" w:cs="Arial"/>
                <w:sz w:val="22"/>
                <w:szCs w:val="18"/>
              </w:rPr>
              <w:t xml:space="preserve">rental </w:t>
            </w:r>
            <w:r w:rsidRPr="00B87852">
              <w:rPr>
                <w:rFonts w:ascii="Arial" w:hAnsi="Arial" w:cs="Arial"/>
                <w:sz w:val="22"/>
                <w:szCs w:val="18"/>
              </w:rPr>
              <w:t xml:space="preserve">housing that is </w:t>
            </w:r>
            <w:r>
              <w:rPr>
                <w:rFonts w:ascii="Arial" w:hAnsi="Arial" w:cs="Arial"/>
                <w:sz w:val="22"/>
                <w:szCs w:val="18"/>
              </w:rPr>
              <w:t>provided to households on very low to moderate incomes and char</w:t>
            </w:r>
            <w:r w:rsidR="00660A14">
              <w:rPr>
                <w:rFonts w:ascii="Arial" w:hAnsi="Arial" w:cs="Arial"/>
                <w:sz w:val="22"/>
                <w:szCs w:val="18"/>
              </w:rPr>
              <w:t>ged at a</w:t>
            </w:r>
            <w:r>
              <w:rPr>
                <w:rFonts w:ascii="Arial" w:hAnsi="Arial" w:cs="Arial"/>
                <w:sz w:val="22"/>
                <w:szCs w:val="18"/>
              </w:rPr>
              <w:t xml:space="preserve"> rental rate t</w:t>
            </w:r>
            <w:r w:rsidR="00660A14">
              <w:rPr>
                <w:rFonts w:ascii="Arial" w:hAnsi="Arial" w:cs="Arial"/>
                <w:sz w:val="22"/>
                <w:szCs w:val="18"/>
              </w:rPr>
              <w:t>hat does not exceed 30% of</w:t>
            </w:r>
            <w:r>
              <w:rPr>
                <w:rFonts w:ascii="Arial" w:hAnsi="Arial" w:cs="Arial"/>
                <w:sz w:val="22"/>
                <w:szCs w:val="18"/>
              </w:rPr>
              <w:t xml:space="preserve"> weekly income – so that </w:t>
            </w:r>
            <w:r w:rsidR="00660A14">
              <w:rPr>
                <w:rFonts w:ascii="Arial" w:hAnsi="Arial" w:cs="Arial"/>
                <w:sz w:val="22"/>
                <w:szCs w:val="18"/>
              </w:rPr>
              <w:t>the household does not experience</w:t>
            </w:r>
            <w:r>
              <w:rPr>
                <w:rFonts w:ascii="Arial" w:hAnsi="Arial" w:cs="Arial"/>
                <w:sz w:val="22"/>
                <w:szCs w:val="18"/>
              </w:rPr>
              <w:t xml:space="preserve"> housing stress and can meet</w:t>
            </w:r>
            <w:r w:rsidRPr="000C296A">
              <w:rPr>
                <w:rFonts w:ascii="Arial" w:hAnsi="Arial" w:cs="Arial"/>
                <w:sz w:val="22"/>
                <w:szCs w:val="18"/>
              </w:rPr>
              <w:t xml:space="preserve"> </w:t>
            </w:r>
            <w:r w:rsidRPr="00B87852">
              <w:rPr>
                <w:rFonts w:ascii="Arial" w:hAnsi="Arial" w:cs="Arial"/>
                <w:sz w:val="22"/>
                <w:szCs w:val="18"/>
              </w:rPr>
              <w:t xml:space="preserve">other basic living costs such as food, clothing, transport, medical care and education. </w:t>
            </w:r>
          </w:p>
        </w:tc>
      </w:tr>
    </w:tbl>
    <w:p w:rsidR="00B87852" w:rsidRPr="007C2DA3" w:rsidRDefault="00B87852" w:rsidP="00AA7239">
      <w:pPr>
        <w:jc w:val="both"/>
        <w:rPr>
          <w:rFonts w:ascii="Arial" w:hAnsi="Arial" w:cs="Arial"/>
          <w:sz w:val="22"/>
        </w:rPr>
      </w:pPr>
    </w:p>
    <w:p w:rsidR="00344D6C" w:rsidRDefault="00344D6C" w:rsidP="00AA7239">
      <w:pPr>
        <w:jc w:val="both"/>
        <w:rPr>
          <w:rFonts w:ascii="Arial" w:hAnsi="Arial" w:cs="Arial"/>
          <w:sz w:val="22"/>
        </w:rPr>
      </w:pPr>
      <w:r w:rsidRPr="007C2DA3">
        <w:rPr>
          <w:rFonts w:ascii="Arial" w:hAnsi="Arial" w:cs="Arial"/>
          <w:sz w:val="22"/>
        </w:rPr>
        <w:t>It is important to</w:t>
      </w:r>
      <w:r>
        <w:rPr>
          <w:rFonts w:ascii="Arial" w:hAnsi="Arial" w:cs="Arial"/>
          <w:sz w:val="22"/>
        </w:rPr>
        <w:t xml:space="preserve"> clarify the difference between several related terms in understanding what the issue in question is, and what this Policy is concerned with. A list of key definitions is provided in Section 6.0 of this Policy.</w:t>
      </w:r>
    </w:p>
    <w:p w:rsidR="00344D6C" w:rsidRDefault="00344D6C" w:rsidP="00AA7239">
      <w:pPr>
        <w:jc w:val="both"/>
        <w:rPr>
          <w:rFonts w:ascii="Arial" w:hAnsi="Arial" w:cs="Arial"/>
          <w:sz w:val="22"/>
        </w:rPr>
      </w:pPr>
    </w:p>
    <w:p w:rsidR="007C2DA3" w:rsidRPr="007C2DA3" w:rsidRDefault="00344D6C" w:rsidP="00AA7239">
      <w:pPr>
        <w:jc w:val="both"/>
        <w:rPr>
          <w:rFonts w:ascii="Arial" w:hAnsi="Arial" w:cs="Arial"/>
          <w:sz w:val="22"/>
        </w:rPr>
      </w:pPr>
      <w:r>
        <w:rPr>
          <w:rFonts w:ascii="Arial" w:hAnsi="Arial" w:cs="Arial"/>
          <w:sz w:val="22"/>
        </w:rPr>
        <w:t>Apart from affordable rental housing, as defined above, t</w:t>
      </w:r>
      <w:r w:rsidR="007C2DA3">
        <w:rPr>
          <w:rFonts w:ascii="Arial" w:hAnsi="Arial" w:cs="Arial"/>
          <w:sz w:val="22"/>
        </w:rPr>
        <w:t>here are other types of affordable housing that cover a spectrum of policy and market responses to the issue</w:t>
      </w:r>
      <w:r w:rsidR="007C2DA3" w:rsidRPr="007C2DA3">
        <w:rPr>
          <w:rFonts w:ascii="Arial" w:hAnsi="Arial" w:cs="Arial"/>
          <w:sz w:val="22"/>
        </w:rPr>
        <w:t xml:space="preserve"> </w:t>
      </w:r>
      <w:r w:rsidR="007C2DA3">
        <w:rPr>
          <w:rFonts w:ascii="Arial" w:hAnsi="Arial" w:cs="Arial"/>
          <w:sz w:val="22"/>
        </w:rPr>
        <w:t>of housing affordability.</w:t>
      </w:r>
      <w:r w:rsidR="00B7036C">
        <w:rPr>
          <w:rFonts w:ascii="Arial" w:hAnsi="Arial" w:cs="Arial"/>
          <w:sz w:val="22"/>
        </w:rPr>
        <w:t xml:space="preserve"> The focus on affordable rental housing is due to the capacity for local government to have influence in this area.</w:t>
      </w:r>
      <w:r w:rsidR="00A10064">
        <w:rPr>
          <w:rFonts w:ascii="Arial" w:hAnsi="Arial" w:cs="Arial"/>
          <w:sz w:val="22"/>
        </w:rPr>
        <w:t xml:space="preserve"> Additionally, F</w:t>
      </w:r>
      <w:r w:rsidR="007C2DA3">
        <w:rPr>
          <w:rFonts w:ascii="Arial" w:hAnsi="Arial" w:cs="Arial"/>
          <w:sz w:val="22"/>
        </w:rPr>
        <w:t xml:space="preserve">ederal Government, State Government, Non-Government and </w:t>
      </w:r>
      <w:r w:rsidR="00B7036C">
        <w:rPr>
          <w:rFonts w:ascii="Arial" w:hAnsi="Arial" w:cs="Arial"/>
          <w:sz w:val="22"/>
        </w:rPr>
        <w:t xml:space="preserve">the </w:t>
      </w:r>
      <w:r w:rsidR="00A10064">
        <w:rPr>
          <w:rFonts w:ascii="Arial" w:hAnsi="Arial" w:cs="Arial"/>
          <w:sz w:val="22"/>
        </w:rPr>
        <w:t xml:space="preserve">private sector </w:t>
      </w:r>
      <w:r w:rsidR="007C2DA3">
        <w:rPr>
          <w:rFonts w:ascii="Arial" w:hAnsi="Arial" w:cs="Arial"/>
          <w:sz w:val="22"/>
        </w:rPr>
        <w:t>may develop other models of affordable housing</w:t>
      </w:r>
      <w:r w:rsidR="00B7036C">
        <w:rPr>
          <w:rFonts w:ascii="Arial" w:hAnsi="Arial" w:cs="Arial"/>
          <w:sz w:val="22"/>
        </w:rPr>
        <w:t xml:space="preserve"> in future</w:t>
      </w:r>
      <w:r w:rsidR="007C2DA3">
        <w:rPr>
          <w:rFonts w:ascii="Arial" w:hAnsi="Arial" w:cs="Arial"/>
          <w:sz w:val="22"/>
        </w:rPr>
        <w:t>.</w:t>
      </w:r>
    </w:p>
    <w:p w:rsidR="00A50D3D" w:rsidRDefault="00A50D3D" w:rsidP="00AA7239">
      <w:pPr>
        <w:jc w:val="both"/>
        <w:rPr>
          <w:rFonts w:ascii="Arial" w:hAnsi="Arial" w:cs="Arial"/>
          <w:b/>
          <w:sz w:val="22"/>
        </w:rPr>
      </w:pPr>
    </w:p>
    <w:p w:rsidR="0075678C" w:rsidRPr="008E10E6" w:rsidRDefault="00E34515" w:rsidP="00AA7239">
      <w:pPr>
        <w:jc w:val="both"/>
        <w:rPr>
          <w:rFonts w:ascii="Arial" w:hAnsi="Arial" w:cs="Arial"/>
          <w:b/>
        </w:rPr>
      </w:pPr>
      <w:r w:rsidRPr="008E10E6">
        <w:rPr>
          <w:rFonts w:ascii="Arial" w:hAnsi="Arial" w:cs="Arial"/>
          <w:b/>
        </w:rPr>
        <w:t>1.3</w:t>
      </w:r>
      <w:r w:rsidR="00A50D3D" w:rsidRPr="008E10E6">
        <w:rPr>
          <w:rFonts w:ascii="Arial" w:hAnsi="Arial" w:cs="Arial"/>
          <w:b/>
        </w:rPr>
        <w:t xml:space="preserve"> </w:t>
      </w:r>
      <w:r w:rsidR="0075678C" w:rsidRPr="008E10E6">
        <w:rPr>
          <w:rFonts w:ascii="Arial" w:hAnsi="Arial" w:cs="Arial"/>
          <w:b/>
        </w:rPr>
        <w:t xml:space="preserve">Current </w:t>
      </w:r>
      <w:r w:rsidR="004A7E11" w:rsidRPr="008E10E6">
        <w:rPr>
          <w:rFonts w:ascii="Arial" w:hAnsi="Arial" w:cs="Arial"/>
          <w:b/>
        </w:rPr>
        <w:t xml:space="preserve">affordable housing </w:t>
      </w:r>
      <w:r w:rsidR="0075678C" w:rsidRPr="008E10E6">
        <w:rPr>
          <w:rFonts w:ascii="Arial" w:hAnsi="Arial" w:cs="Arial"/>
          <w:b/>
        </w:rPr>
        <w:t>provision</w:t>
      </w:r>
    </w:p>
    <w:p w:rsidR="00CA42E3" w:rsidRDefault="00CA42E3" w:rsidP="00AA7239">
      <w:pPr>
        <w:jc w:val="both"/>
      </w:pPr>
      <w:r w:rsidRPr="00B104E5">
        <w:rPr>
          <w:rFonts w:ascii="Arial" w:hAnsi="Arial" w:cs="Arial"/>
          <w:sz w:val="22"/>
        </w:rPr>
        <w:t>There is a relatively low level of affordable housing across the City, compared with other housing types, with most of it being provided as social housing by the NSW Government, and therefore targeted at very low income households. The table below shows how much of each type of affordable housing is provided across the City.</w:t>
      </w:r>
      <w:r w:rsidRPr="00B104E5">
        <w:rPr>
          <w:sz w:val="22"/>
        </w:rPr>
        <w:t xml:space="preserve"> </w:t>
      </w:r>
    </w:p>
    <w:p w:rsidR="00CA42E3" w:rsidRDefault="00CA42E3" w:rsidP="00CA42E3">
      <w:pPr>
        <w:rPr>
          <w:rFonts w:ascii="Arial" w:hAnsi="Arial" w:cs="Arial"/>
          <w:sz w:val="22"/>
          <w:szCs w:val="22"/>
        </w:rPr>
      </w:pPr>
    </w:p>
    <w:tbl>
      <w:tblPr>
        <w:tblStyle w:val="TableGrid"/>
        <w:tblW w:w="0" w:type="auto"/>
        <w:jc w:val="center"/>
        <w:tblLook w:val="04A0" w:firstRow="1" w:lastRow="0" w:firstColumn="1" w:lastColumn="0" w:noHBand="0" w:noVBand="1"/>
      </w:tblPr>
      <w:tblGrid>
        <w:gridCol w:w="5524"/>
        <w:gridCol w:w="1416"/>
        <w:gridCol w:w="2454"/>
      </w:tblGrid>
      <w:tr w:rsidR="00A05B19" w:rsidRPr="00B104E5" w:rsidTr="00E41CAB">
        <w:trPr>
          <w:trHeight w:val="511"/>
          <w:jc w:val="center"/>
        </w:trPr>
        <w:tc>
          <w:tcPr>
            <w:tcW w:w="9394" w:type="dxa"/>
            <w:gridSpan w:val="3"/>
          </w:tcPr>
          <w:p w:rsidR="00A05B19" w:rsidRPr="00B104E5" w:rsidRDefault="00A05B19" w:rsidP="00CA42E3">
            <w:pPr>
              <w:rPr>
                <w:rFonts w:ascii="Arial" w:hAnsi="Arial" w:cs="Arial"/>
                <w:b/>
                <w:sz w:val="20"/>
              </w:rPr>
            </w:pPr>
            <w:r w:rsidRPr="00DF2A4A">
              <w:rPr>
                <w:rFonts w:ascii="Arial" w:hAnsi="Arial" w:cs="Arial"/>
                <w:b/>
              </w:rPr>
              <w:lastRenderedPageBreak/>
              <w:t>Table 1. Affordable Housing Provision in City of Parramatta</w:t>
            </w:r>
          </w:p>
        </w:tc>
      </w:tr>
      <w:tr w:rsidR="00A05B19" w:rsidRPr="00B104E5" w:rsidTr="00A05B19">
        <w:trPr>
          <w:jc w:val="center"/>
        </w:trPr>
        <w:tc>
          <w:tcPr>
            <w:tcW w:w="5524" w:type="dxa"/>
          </w:tcPr>
          <w:p w:rsidR="00A05B19" w:rsidRPr="00B104E5" w:rsidRDefault="00A05B19" w:rsidP="00A05B19">
            <w:pPr>
              <w:rPr>
                <w:rFonts w:ascii="Arial" w:hAnsi="Arial" w:cs="Arial"/>
                <w:b/>
                <w:sz w:val="20"/>
              </w:rPr>
            </w:pPr>
            <w:r w:rsidRPr="00B104E5">
              <w:rPr>
                <w:rFonts w:ascii="Arial" w:hAnsi="Arial" w:cs="Arial"/>
                <w:b/>
                <w:sz w:val="20"/>
              </w:rPr>
              <w:t>Affordable Housing Type (as at 2017)</w:t>
            </w:r>
          </w:p>
        </w:tc>
        <w:tc>
          <w:tcPr>
            <w:tcW w:w="1416" w:type="dxa"/>
          </w:tcPr>
          <w:p w:rsidR="00A05B19" w:rsidRPr="00B104E5" w:rsidRDefault="00A05B19" w:rsidP="00A05B19">
            <w:pPr>
              <w:rPr>
                <w:rFonts w:ascii="Arial" w:hAnsi="Arial" w:cs="Arial"/>
                <w:b/>
                <w:sz w:val="20"/>
              </w:rPr>
            </w:pPr>
            <w:r w:rsidRPr="00B104E5">
              <w:rPr>
                <w:rFonts w:ascii="Arial" w:hAnsi="Arial" w:cs="Arial"/>
                <w:b/>
                <w:sz w:val="20"/>
              </w:rPr>
              <w:t>Number of dwellings</w:t>
            </w:r>
          </w:p>
        </w:tc>
        <w:tc>
          <w:tcPr>
            <w:tcW w:w="2454" w:type="dxa"/>
          </w:tcPr>
          <w:p w:rsidR="00A05B19" w:rsidRPr="00B104E5" w:rsidRDefault="00A05B19" w:rsidP="00A05B19">
            <w:pPr>
              <w:rPr>
                <w:rFonts w:ascii="Arial" w:hAnsi="Arial" w:cs="Arial"/>
                <w:b/>
                <w:sz w:val="20"/>
              </w:rPr>
            </w:pPr>
            <w:r w:rsidRPr="00B104E5">
              <w:rPr>
                <w:rFonts w:ascii="Arial" w:hAnsi="Arial" w:cs="Arial"/>
                <w:b/>
                <w:sz w:val="20"/>
              </w:rPr>
              <w:t xml:space="preserve">% of total dwellings in </w:t>
            </w:r>
            <w:proofErr w:type="spellStart"/>
            <w:r w:rsidRPr="00B104E5">
              <w:rPr>
                <w:rFonts w:ascii="Arial" w:hAnsi="Arial" w:cs="Arial"/>
                <w:b/>
                <w:sz w:val="20"/>
              </w:rPr>
              <w:t>CoP</w:t>
            </w:r>
            <w:proofErr w:type="spellEnd"/>
            <w:r w:rsidRPr="00B104E5">
              <w:rPr>
                <w:rFonts w:ascii="Arial" w:hAnsi="Arial" w:cs="Arial"/>
                <w:b/>
                <w:sz w:val="20"/>
              </w:rPr>
              <w:t xml:space="preserve"> at 2016 estimate</w:t>
            </w:r>
            <w:r w:rsidRPr="00B104E5">
              <w:rPr>
                <w:rStyle w:val="FootnoteReference"/>
                <w:rFonts w:ascii="Arial" w:hAnsi="Arial" w:cs="Arial"/>
                <w:b/>
                <w:sz w:val="20"/>
              </w:rPr>
              <w:footnoteReference w:id="3"/>
            </w:r>
          </w:p>
        </w:tc>
      </w:tr>
      <w:tr w:rsidR="00CA42E3" w:rsidRPr="00B104E5" w:rsidTr="00A05B19">
        <w:trPr>
          <w:jc w:val="center"/>
        </w:trPr>
        <w:tc>
          <w:tcPr>
            <w:tcW w:w="5524" w:type="dxa"/>
            <w:shd w:val="clear" w:color="auto" w:fill="DBE5F1" w:themeFill="accent1" w:themeFillTint="33"/>
          </w:tcPr>
          <w:p w:rsidR="00CA42E3" w:rsidRPr="00B104E5" w:rsidRDefault="00CA42E3" w:rsidP="00CA42E3">
            <w:pPr>
              <w:rPr>
                <w:rFonts w:ascii="Arial" w:hAnsi="Arial" w:cs="Arial"/>
                <w:sz w:val="20"/>
              </w:rPr>
            </w:pPr>
            <w:r w:rsidRPr="00B104E5">
              <w:rPr>
                <w:rFonts w:ascii="Arial" w:hAnsi="Arial" w:cs="Arial"/>
                <w:sz w:val="20"/>
              </w:rPr>
              <w:t>Secondary dwellings (e.g. granny flats)</w:t>
            </w:r>
          </w:p>
        </w:tc>
        <w:tc>
          <w:tcPr>
            <w:tcW w:w="1416" w:type="dxa"/>
            <w:shd w:val="clear" w:color="auto" w:fill="DBE5F1" w:themeFill="accent1" w:themeFillTint="33"/>
            <w:vAlign w:val="center"/>
          </w:tcPr>
          <w:p w:rsidR="00CA42E3" w:rsidRPr="00B104E5" w:rsidRDefault="00CA42E3" w:rsidP="00CA42E3">
            <w:pPr>
              <w:jc w:val="center"/>
              <w:rPr>
                <w:rFonts w:ascii="Arial" w:hAnsi="Arial" w:cs="Arial"/>
                <w:sz w:val="20"/>
              </w:rPr>
            </w:pPr>
            <w:r w:rsidRPr="00B104E5">
              <w:rPr>
                <w:rFonts w:ascii="Arial" w:hAnsi="Arial" w:cs="Arial"/>
                <w:sz w:val="20"/>
              </w:rPr>
              <w:t>122</w:t>
            </w:r>
          </w:p>
        </w:tc>
        <w:tc>
          <w:tcPr>
            <w:tcW w:w="2454" w:type="dxa"/>
            <w:vMerge w:val="restart"/>
            <w:shd w:val="clear" w:color="auto" w:fill="DBE5F1" w:themeFill="accent1" w:themeFillTint="33"/>
          </w:tcPr>
          <w:p w:rsidR="00CA42E3" w:rsidRPr="00B104E5" w:rsidRDefault="00CA42E3" w:rsidP="00CA42E3">
            <w:pPr>
              <w:rPr>
                <w:rFonts w:ascii="Arial" w:hAnsi="Arial" w:cs="Arial"/>
                <w:sz w:val="20"/>
              </w:rPr>
            </w:pPr>
          </w:p>
        </w:tc>
      </w:tr>
      <w:tr w:rsidR="00CA42E3" w:rsidRPr="00B104E5" w:rsidTr="00A05B19">
        <w:trPr>
          <w:jc w:val="center"/>
        </w:trPr>
        <w:tc>
          <w:tcPr>
            <w:tcW w:w="5524" w:type="dxa"/>
            <w:shd w:val="clear" w:color="auto" w:fill="DBE5F1" w:themeFill="accent1" w:themeFillTint="33"/>
          </w:tcPr>
          <w:p w:rsidR="00CA42E3" w:rsidRPr="00B104E5" w:rsidRDefault="00CA42E3" w:rsidP="00CA42E3">
            <w:pPr>
              <w:rPr>
                <w:rFonts w:ascii="Arial" w:hAnsi="Arial" w:cs="Arial"/>
                <w:sz w:val="20"/>
              </w:rPr>
            </w:pPr>
            <w:r w:rsidRPr="00B104E5">
              <w:rPr>
                <w:rFonts w:ascii="Arial" w:hAnsi="Arial" w:cs="Arial"/>
                <w:sz w:val="20"/>
              </w:rPr>
              <w:t>Boarding house rooms (managed privately)</w:t>
            </w:r>
          </w:p>
        </w:tc>
        <w:tc>
          <w:tcPr>
            <w:tcW w:w="1416" w:type="dxa"/>
            <w:shd w:val="clear" w:color="auto" w:fill="DBE5F1" w:themeFill="accent1" w:themeFillTint="33"/>
            <w:vAlign w:val="center"/>
          </w:tcPr>
          <w:p w:rsidR="00CA42E3" w:rsidRPr="00B104E5" w:rsidRDefault="00CA42E3" w:rsidP="00CA42E3">
            <w:pPr>
              <w:jc w:val="center"/>
              <w:rPr>
                <w:rFonts w:ascii="Arial" w:hAnsi="Arial" w:cs="Arial"/>
                <w:sz w:val="20"/>
              </w:rPr>
            </w:pPr>
            <w:r w:rsidRPr="00B104E5">
              <w:rPr>
                <w:rFonts w:ascii="Arial" w:hAnsi="Arial" w:cs="Arial"/>
                <w:sz w:val="20"/>
              </w:rPr>
              <w:t>99</w:t>
            </w:r>
          </w:p>
        </w:tc>
        <w:tc>
          <w:tcPr>
            <w:tcW w:w="2454" w:type="dxa"/>
            <w:vMerge/>
            <w:shd w:val="clear" w:color="auto" w:fill="DBE5F1" w:themeFill="accent1" w:themeFillTint="33"/>
          </w:tcPr>
          <w:p w:rsidR="00CA42E3" w:rsidRPr="00B104E5" w:rsidRDefault="00CA42E3" w:rsidP="00CA42E3">
            <w:pPr>
              <w:jc w:val="center"/>
              <w:rPr>
                <w:rFonts w:ascii="Arial" w:hAnsi="Arial" w:cs="Arial"/>
                <w:sz w:val="20"/>
              </w:rPr>
            </w:pPr>
          </w:p>
        </w:tc>
      </w:tr>
      <w:tr w:rsidR="00CA42E3" w:rsidRPr="00B104E5" w:rsidTr="00A05B19">
        <w:trPr>
          <w:jc w:val="center"/>
        </w:trPr>
        <w:tc>
          <w:tcPr>
            <w:tcW w:w="5524" w:type="dxa"/>
            <w:shd w:val="clear" w:color="auto" w:fill="DBE5F1" w:themeFill="accent1" w:themeFillTint="33"/>
          </w:tcPr>
          <w:p w:rsidR="00CA42E3" w:rsidRPr="00B104E5" w:rsidRDefault="00CA42E3" w:rsidP="00CA42E3">
            <w:pPr>
              <w:rPr>
                <w:rFonts w:ascii="Arial" w:hAnsi="Arial" w:cs="Arial"/>
                <w:sz w:val="20"/>
              </w:rPr>
            </w:pPr>
            <w:r w:rsidRPr="00B104E5">
              <w:rPr>
                <w:rFonts w:ascii="Arial" w:hAnsi="Arial" w:cs="Arial"/>
                <w:sz w:val="20"/>
              </w:rPr>
              <w:t>Affordable rental housing provided by Community Housing Providers (CHPs)</w:t>
            </w:r>
          </w:p>
        </w:tc>
        <w:tc>
          <w:tcPr>
            <w:tcW w:w="1416" w:type="dxa"/>
            <w:shd w:val="clear" w:color="auto" w:fill="DBE5F1" w:themeFill="accent1" w:themeFillTint="33"/>
            <w:vAlign w:val="center"/>
          </w:tcPr>
          <w:p w:rsidR="00CA42E3" w:rsidRPr="00B104E5" w:rsidRDefault="00CA42E3" w:rsidP="00CA42E3">
            <w:pPr>
              <w:jc w:val="center"/>
              <w:rPr>
                <w:rFonts w:ascii="Arial" w:hAnsi="Arial" w:cs="Arial"/>
                <w:sz w:val="20"/>
              </w:rPr>
            </w:pPr>
            <w:r w:rsidRPr="00B104E5">
              <w:rPr>
                <w:rFonts w:ascii="Arial" w:hAnsi="Arial" w:cs="Arial"/>
                <w:sz w:val="20"/>
              </w:rPr>
              <w:t>435*</w:t>
            </w:r>
          </w:p>
        </w:tc>
        <w:tc>
          <w:tcPr>
            <w:tcW w:w="2454" w:type="dxa"/>
            <w:vMerge/>
            <w:shd w:val="clear" w:color="auto" w:fill="DBE5F1" w:themeFill="accent1" w:themeFillTint="33"/>
          </w:tcPr>
          <w:p w:rsidR="00CA42E3" w:rsidRPr="00B104E5" w:rsidRDefault="00CA42E3" w:rsidP="00CA42E3">
            <w:pPr>
              <w:jc w:val="center"/>
              <w:rPr>
                <w:rFonts w:ascii="Arial" w:hAnsi="Arial" w:cs="Arial"/>
                <w:sz w:val="20"/>
              </w:rPr>
            </w:pPr>
          </w:p>
        </w:tc>
      </w:tr>
      <w:tr w:rsidR="00CA42E3" w:rsidRPr="00B104E5" w:rsidTr="00A05B19">
        <w:trPr>
          <w:jc w:val="center"/>
        </w:trPr>
        <w:tc>
          <w:tcPr>
            <w:tcW w:w="5524" w:type="dxa"/>
            <w:shd w:val="clear" w:color="auto" w:fill="DBE5F1" w:themeFill="accent1" w:themeFillTint="33"/>
          </w:tcPr>
          <w:p w:rsidR="00CA42E3" w:rsidRPr="00B104E5" w:rsidRDefault="00CA42E3" w:rsidP="00CA42E3">
            <w:pPr>
              <w:rPr>
                <w:rFonts w:ascii="Arial" w:hAnsi="Arial" w:cs="Arial"/>
                <w:sz w:val="20"/>
              </w:rPr>
            </w:pPr>
            <w:r w:rsidRPr="00B104E5">
              <w:rPr>
                <w:rFonts w:ascii="Arial" w:hAnsi="Arial" w:cs="Arial"/>
                <w:sz w:val="20"/>
              </w:rPr>
              <w:t xml:space="preserve">Council-owned affordable housing units </w:t>
            </w:r>
            <w:r w:rsidR="00EE0FE7">
              <w:rPr>
                <w:rFonts w:ascii="Arial" w:hAnsi="Arial" w:cs="Arial"/>
                <w:sz w:val="20"/>
              </w:rPr>
              <w:t>(managed by CHP</w:t>
            </w:r>
            <w:r w:rsidRPr="00B104E5">
              <w:rPr>
                <w:rFonts w:ascii="Arial" w:hAnsi="Arial" w:cs="Arial"/>
                <w:sz w:val="20"/>
              </w:rPr>
              <w:t>)</w:t>
            </w:r>
          </w:p>
        </w:tc>
        <w:tc>
          <w:tcPr>
            <w:tcW w:w="1416" w:type="dxa"/>
            <w:shd w:val="clear" w:color="auto" w:fill="DBE5F1" w:themeFill="accent1" w:themeFillTint="33"/>
            <w:vAlign w:val="center"/>
          </w:tcPr>
          <w:p w:rsidR="00CA42E3" w:rsidRPr="00B104E5" w:rsidRDefault="00CA42E3" w:rsidP="00CA42E3">
            <w:pPr>
              <w:jc w:val="center"/>
              <w:rPr>
                <w:rFonts w:ascii="Arial" w:hAnsi="Arial" w:cs="Arial"/>
                <w:sz w:val="20"/>
              </w:rPr>
            </w:pPr>
            <w:r w:rsidRPr="00B104E5">
              <w:rPr>
                <w:rFonts w:ascii="Arial" w:hAnsi="Arial" w:cs="Arial"/>
                <w:sz w:val="20"/>
              </w:rPr>
              <w:t>7</w:t>
            </w:r>
          </w:p>
        </w:tc>
        <w:tc>
          <w:tcPr>
            <w:tcW w:w="2454" w:type="dxa"/>
            <w:vMerge/>
            <w:shd w:val="clear" w:color="auto" w:fill="DBE5F1" w:themeFill="accent1" w:themeFillTint="33"/>
          </w:tcPr>
          <w:p w:rsidR="00CA42E3" w:rsidRPr="00B104E5" w:rsidRDefault="00CA42E3" w:rsidP="00CA42E3">
            <w:pPr>
              <w:jc w:val="center"/>
              <w:rPr>
                <w:rFonts w:ascii="Arial" w:hAnsi="Arial" w:cs="Arial"/>
                <w:sz w:val="20"/>
              </w:rPr>
            </w:pPr>
          </w:p>
        </w:tc>
      </w:tr>
      <w:tr w:rsidR="00CA42E3" w:rsidRPr="00B104E5" w:rsidTr="00A05B19">
        <w:trPr>
          <w:jc w:val="center"/>
        </w:trPr>
        <w:tc>
          <w:tcPr>
            <w:tcW w:w="5524" w:type="dxa"/>
            <w:shd w:val="clear" w:color="auto" w:fill="DBE5F1" w:themeFill="accent1" w:themeFillTint="33"/>
          </w:tcPr>
          <w:p w:rsidR="00CA42E3" w:rsidRPr="00B104E5" w:rsidRDefault="00CA42E3" w:rsidP="00CA42E3">
            <w:pPr>
              <w:rPr>
                <w:rFonts w:ascii="Arial" w:hAnsi="Arial" w:cs="Arial"/>
                <w:sz w:val="20"/>
              </w:rPr>
            </w:pPr>
            <w:r w:rsidRPr="00B104E5">
              <w:rPr>
                <w:rFonts w:ascii="Arial" w:hAnsi="Arial" w:cs="Arial"/>
                <w:sz w:val="20"/>
              </w:rPr>
              <w:t>Affordable rental housing dwellings delivered under the</w:t>
            </w:r>
          </w:p>
          <w:p w:rsidR="00CA42E3" w:rsidRPr="00B104E5" w:rsidRDefault="00CA42E3" w:rsidP="00CA42E3">
            <w:pPr>
              <w:rPr>
                <w:rFonts w:ascii="Arial" w:hAnsi="Arial" w:cs="Arial"/>
                <w:sz w:val="20"/>
              </w:rPr>
            </w:pPr>
            <w:r w:rsidRPr="00B104E5">
              <w:rPr>
                <w:rFonts w:ascii="Arial" w:hAnsi="Arial" w:cs="Arial"/>
                <w:sz w:val="20"/>
              </w:rPr>
              <w:t>ARH SEPP 2009 (managed by CHPs)</w:t>
            </w:r>
          </w:p>
        </w:tc>
        <w:tc>
          <w:tcPr>
            <w:tcW w:w="1416" w:type="dxa"/>
            <w:shd w:val="clear" w:color="auto" w:fill="DBE5F1" w:themeFill="accent1" w:themeFillTint="33"/>
            <w:vAlign w:val="center"/>
          </w:tcPr>
          <w:p w:rsidR="00CA42E3" w:rsidRPr="00B104E5" w:rsidRDefault="00CA42E3" w:rsidP="00CA42E3">
            <w:pPr>
              <w:jc w:val="center"/>
              <w:rPr>
                <w:rFonts w:ascii="Arial" w:hAnsi="Arial" w:cs="Arial"/>
                <w:sz w:val="20"/>
              </w:rPr>
            </w:pPr>
            <w:r w:rsidRPr="00B104E5">
              <w:rPr>
                <w:rFonts w:ascii="Arial" w:hAnsi="Arial" w:cs="Arial"/>
                <w:sz w:val="20"/>
              </w:rPr>
              <w:t>255*</w:t>
            </w:r>
          </w:p>
        </w:tc>
        <w:tc>
          <w:tcPr>
            <w:tcW w:w="2454" w:type="dxa"/>
            <w:vMerge/>
            <w:shd w:val="clear" w:color="auto" w:fill="DBE5F1" w:themeFill="accent1" w:themeFillTint="33"/>
          </w:tcPr>
          <w:p w:rsidR="00CA42E3" w:rsidRPr="00B104E5" w:rsidRDefault="00CA42E3" w:rsidP="00CA42E3">
            <w:pPr>
              <w:jc w:val="center"/>
              <w:rPr>
                <w:rFonts w:ascii="Arial" w:hAnsi="Arial" w:cs="Arial"/>
                <w:sz w:val="20"/>
              </w:rPr>
            </w:pPr>
          </w:p>
        </w:tc>
      </w:tr>
      <w:tr w:rsidR="00CA42E3" w:rsidRPr="00B104E5" w:rsidTr="00A05B19">
        <w:trPr>
          <w:jc w:val="center"/>
        </w:trPr>
        <w:tc>
          <w:tcPr>
            <w:tcW w:w="5524" w:type="dxa"/>
          </w:tcPr>
          <w:p w:rsidR="00CA42E3" w:rsidRPr="00B104E5" w:rsidRDefault="0072524D" w:rsidP="00CA42E3">
            <w:pPr>
              <w:rPr>
                <w:rFonts w:ascii="Arial" w:hAnsi="Arial" w:cs="Arial"/>
                <w:b/>
                <w:sz w:val="20"/>
              </w:rPr>
            </w:pPr>
            <w:r>
              <w:rPr>
                <w:rFonts w:ascii="Arial" w:hAnsi="Arial" w:cs="Arial"/>
                <w:b/>
                <w:sz w:val="20"/>
              </w:rPr>
              <w:t>Total affordable rental</w:t>
            </w:r>
            <w:r w:rsidR="00CA42E3" w:rsidRPr="00B104E5">
              <w:rPr>
                <w:rFonts w:ascii="Arial" w:hAnsi="Arial" w:cs="Arial"/>
                <w:b/>
                <w:sz w:val="20"/>
              </w:rPr>
              <w:t xml:space="preserve"> stock</w:t>
            </w:r>
          </w:p>
        </w:tc>
        <w:tc>
          <w:tcPr>
            <w:tcW w:w="1416" w:type="dxa"/>
          </w:tcPr>
          <w:p w:rsidR="00CA42E3" w:rsidRPr="00B104E5" w:rsidRDefault="00CA42E3" w:rsidP="00CA42E3">
            <w:pPr>
              <w:jc w:val="center"/>
              <w:rPr>
                <w:rFonts w:ascii="Arial" w:hAnsi="Arial" w:cs="Arial"/>
                <w:sz w:val="20"/>
              </w:rPr>
            </w:pPr>
            <w:r w:rsidRPr="00B104E5">
              <w:rPr>
                <w:rFonts w:ascii="Arial" w:hAnsi="Arial" w:cs="Arial"/>
                <w:sz w:val="20"/>
              </w:rPr>
              <w:t>918</w:t>
            </w:r>
          </w:p>
        </w:tc>
        <w:tc>
          <w:tcPr>
            <w:tcW w:w="2454" w:type="dxa"/>
          </w:tcPr>
          <w:p w:rsidR="00CA42E3" w:rsidRPr="00B104E5" w:rsidRDefault="00CA42E3" w:rsidP="00CA42E3">
            <w:pPr>
              <w:jc w:val="center"/>
              <w:rPr>
                <w:rFonts w:ascii="Arial" w:hAnsi="Arial" w:cs="Arial"/>
                <w:sz w:val="20"/>
              </w:rPr>
            </w:pPr>
            <w:r w:rsidRPr="00B104E5">
              <w:rPr>
                <w:rFonts w:ascii="Arial" w:hAnsi="Arial" w:cs="Arial"/>
                <w:sz w:val="20"/>
              </w:rPr>
              <w:t>1.1%</w:t>
            </w:r>
          </w:p>
        </w:tc>
      </w:tr>
      <w:tr w:rsidR="00CA42E3" w:rsidRPr="00B104E5" w:rsidTr="00A05B19">
        <w:trPr>
          <w:jc w:val="center"/>
        </w:trPr>
        <w:tc>
          <w:tcPr>
            <w:tcW w:w="5524" w:type="dxa"/>
            <w:shd w:val="clear" w:color="auto" w:fill="FDE9D9" w:themeFill="accent6" w:themeFillTint="33"/>
          </w:tcPr>
          <w:p w:rsidR="00CA42E3" w:rsidRPr="00B104E5" w:rsidRDefault="00CA42E3" w:rsidP="00CA42E3">
            <w:pPr>
              <w:rPr>
                <w:rFonts w:ascii="Arial" w:hAnsi="Arial" w:cs="Arial"/>
                <w:sz w:val="20"/>
              </w:rPr>
            </w:pPr>
            <w:r w:rsidRPr="00B104E5">
              <w:rPr>
                <w:rFonts w:ascii="Arial" w:hAnsi="Arial" w:cs="Arial"/>
                <w:sz w:val="20"/>
              </w:rPr>
              <w:t>Housing NSW-owned dwellings (social housing)</w:t>
            </w:r>
          </w:p>
        </w:tc>
        <w:tc>
          <w:tcPr>
            <w:tcW w:w="1416" w:type="dxa"/>
            <w:shd w:val="clear" w:color="auto" w:fill="FDE9D9" w:themeFill="accent6" w:themeFillTint="33"/>
          </w:tcPr>
          <w:p w:rsidR="00CA42E3" w:rsidRPr="00B104E5" w:rsidRDefault="00CA42E3" w:rsidP="00CA42E3">
            <w:pPr>
              <w:jc w:val="center"/>
              <w:rPr>
                <w:rFonts w:ascii="Arial" w:hAnsi="Arial" w:cs="Arial"/>
                <w:sz w:val="20"/>
              </w:rPr>
            </w:pPr>
            <w:r w:rsidRPr="00B104E5">
              <w:rPr>
                <w:rFonts w:ascii="Arial" w:hAnsi="Arial" w:cs="Arial"/>
                <w:sz w:val="20"/>
              </w:rPr>
              <w:t>4,431</w:t>
            </w:r>
            <w:r w:rsidRPr="00B104E5">
              <w:rPr>
                <w:rStyle w:val="FootnoteReference"/>
                <w:rFonts w:ascii="Arial" w:hAnsi="Arial" w:cs="Arial"/>
                <w:sz w:val="20"/>
              </w:rPr>
              <w:footnoteReference w:id="4"/>
            </w:r>
          </w:p>
        </w:tc>
        <w:tc>
          <w:tcPr>
            <w:tcW w:w="2454" w:type="dxa"/>
            <w:shd w:val="clear" w:color="auto" w:fill="FDE9D9" w:themeFill="accent6" w:themeFillTint="33"/>
          </w:tcPr>
          <w:p w:rsidR="00CA42E3" w:rsidRPr="00B104E5" w:rsidRDefault="00CA42E3" w:rsidP="00CA42E3">
            <w:pPr>
              <w:jc w:val="center"/>
              <w:rPr>
                <w:rFonts w:ascii="Arial" w:hAnsi="Arial" w:cs="Arial"/>
                <w:sz w:val="20"/>
              </w:rPr>
            </w:pPr>
            <w:r w:rsidRPr="00B104E5">
              <w:rPr>
                <w:rFonts w:ascii="Arial" w:hAnsi="Arial" w:cs="Arial"/>
                <w:sz w:val="20"/>
              </w:rPr>
              <w:t>5.1%</w:t>
            </w:r>
          </w:p>
        </w:tc>
      </w:tr>
      <w:tr w:rsidR="00CA42E3" w:rsidRPr="00B104E5" w:rsidTr="00A05B19">
        <w:trPr>
          <w:jc w:val="center"/>
        </w:trPr>
        <w:tc>
          <w:tcPr>
            <w:tcW w:w="5524" w:type="dxa"/>
          </w:tcPr>
          <w:p w:rsidR="00CA42E3" w:rsidRPr="00B104E5" w:rsidRDefault="00CA42E3" w:rsidP="00CA42E3">
            <w:pPr>
              <w:rPr>
                <w:rFonts w:ascii="Arial" w:hAnsi="Arial" w:cs="Arial"/>
                <w:b/>
                <w:sz w:val="20"/>
              </w:rPr>
            </w:pPr>
            <w:r w:rsidRPr="00B104E5">
              <w:rPr>
                <w:rFonts w:ascii="Arial" w:hAnsi="Arial" w:cs="Arial"/>
                <w:b/>
                <w:sz w:val="20"/>
              </w:rPr>
              <w:t>Total of all types of subsidized housing</w:t>
            </w:r>
          </w:p>
        </w:tc>
        <w:tc>
          <w:tcPr>
            <w:tcW w:w="1416" w:type="dxa"/>
          </w:tcPr>
          <w:p w:rsidR="00CA42E3" w:rsidRPr="00B104E5" w:rsidRDefault="00CA42E3" w:rsidP="00CA42E3">
            <w:pPr>
              <w:jc w:val="center"/>
              <w:rPr>
                <w:rFonts w:ascii="Arial" w:hAnsi="Arial" w:cs="Arial"/>
                <w:b/>
                <w:sz w:val="20"/>
              </w:rPr>
            </w:pPr>
            <w:r w:rsidRPr="00B104E5">
              <w:rPr>
                <w:rFonts w:ascii="Arial" w:hAnsi="Arial" w:cs="Arial"/>
                <w:b/>
                <w:sz w:val="20"/>
              </w:rPr>
              <w:t>5,349</w:t>
            </w:r>
          </w:p>
        </w:tc>
        <w:tc>
          <w:tcPr>
            <w:tcW w:w="2454" w:type="dxa"/>
          </w:tcPr>
          <w:p w:rsidR="00CA42E3" w:rsidRPr="00B104E5" w:rsidRDefault="00CA42E3" w:rsidP="00CA42E3">
            <w:pPr>
              <w:jc w:val="center"/>
              <w:rPr>
                <w:rFonts w:ascii="Arial" w:hAnsi="Arial" w:cs="Arial"/>
                <w:b/>
                <w:sz w:val="20"/>
              </w:rPr>
            </w:pPr>
            <w:r w:rsidRPr="00B104E5">
              <w:rPr>
                <w:rFonts w:ascii="Arial" w:hAnsi="Arial" w:cs="Arial"/>
                <w:b/>
                <w:sz w:val="20"/>
              </w:rPr>
              <w:t>6.2%</w:t>
            </w:r>
          </w:p>
        </w:tc>
      </w:tr>
      <w:tr w:rsidR="00CA42E3" w:rsidRPr="00B104E5" w:rsidTr="00A05B19">
        <w:trPr>
          <w:jc w:val="center"/>
        </w:trPr>
        <w:tc>
          <w:tcPr>
            <w:tcW w:w="9394" w:type="dxa"/>
            <w:gridSpan w:val="3"/>
          </w:tcPr>
          <w:p w:rsidR="00CA42E3" w:rsidRPr="00B104E5" w:rsidRDefault="00CA42E3" w:rsidP="00CA42E3">
            <w:pPr>
              <w:rPr>
                <w:rFonts w:ascii="Arial" w:hAnsi="Arial" w:cs="Arial"/>
                <w:sz w:val="20"/>
              </w:rPr>
            </w:pPr>
            <w:r w:rsidRPr="00B104E5">
              <w:rPr>
                <w:rFonts w:ascii="Arial" w:hAnsi="Arial" w:cs="Arial"/>
                <w:b/>
                <w:sz w:val="20"/>
              </w:rPr>
              <w:t>*</w:t>
            </w:r>
            <w:r w:rsidRPr="00B104E5">
              <w:rPr>
                <w:rFonts w:ascii="Arial" w:hAnsi="Arial" w:cs="Arial"/>
                <w:b/>
                <w:sz w:val="18"/>
              </w:rPr>
              <w:t>Note:</w:t>
            </w:r>
            <w:r w:rsidRPr="00B104E5">
              <w:rPr>
                <w:rFonts w:ascii="Arial" w:hAnsi="Arial" w:cs="Arial"/>
                <w:sz w:val="18"/>
              </w:rPr>
              <w:t xml:space="preserve"> there may be some crossover with these two figures, since the properties managed by CHPs also include some housing delivered under the ARH SEPP 2009. Given that we were unable to establish exactly how many, but also that the CHP dwelling figure of 435 only includes the five largest known CHPs, this issue has not been interrogated further.</w:t>
            </w:r>
          </w:p>
        </w:tc>
      </w:tr>
    </w:tbl>
    <w:p w:rsidR="00CA42E3" w:rsidRPr="00D75456" w:rsidRDefault="00CA42E3" w:rsidP="00CA42E3">
      <w:pPr>
        <w:rPr>
          <w:rFonts w:ascii="Arial" w:hAnsi="Arial" w:cs="Arial"/>
          <w:sz w:val="22"/>
          <w:szCs w:val="22"/>
        </w:rPr>
      </w:pPr>
    </w:p>
    <w:p w:rsidR="00CA42E3" w:rsidRDefault="00316590" w:rsidP="00AA7239">
      <w:pPr>
        <w:jc w:val="both"/>
        <w:rPr>
          <w:rFonts w:ascii="Arial" w:hAnsi="Arial" w:cs="Arial"/>
          <w:sz w:val="22"/>
          <w:szCs w:val="22"/>
        </w:rPr>
      </w:pPr>
      <w:r>
        <w:rPr>
          <w:rFonts w:ascii="Arial" w:hAnsi="Arial" w:cs="Arial"/>
          <w:sz w:val="22"/>
          <w:szCs w:val="22"/>
        </w:rPr>
        <w:t>Council</w:t>
      </w:r>
      <w:r w:rsidR="00CA42E3">
        <w:rPr>
          <w:rFonts w:ascii="Arial" w:hAnsi="Arial" w:cs="Arial"/>
          <w:sz w:val="22"/>
          <w:szCs w:val="22"/>
        </w:rPr>
        <w:t xml:space="preserve"> supports delivery of more affordable housing across the spectrum of subsidized and private market provision.</w:t>
      </w:r>
    </w:p>
    <w:p w:rsidR="009E4C84" w:rsidRDefault="009E4C84" w:rsidP="00AA7239">
      <w:pPr>
        <w:jc w:val="both"/>
        <w:rPr>
          <w:rFonts w:ascii="Arial" w:hAnsi="Arial" w:cs="Arial"/>
          <w:sz w:val="22"/>
          <w:szCs w:val="22"/>
        </w:rPr>
      </w:pPr>
    </w:p>
    <w:p w:rsidR="004176F9" w:rsidRPr="008E10E6" w:rsidRDefault="004176F9" w:rsidP="00AA7239">
      <w:pPr>
        <w:jc w:val="both"/>
        <w:rPr>
          <w:rFonts w:ascii="Arial" w:hAnsi="Arial" w:cs="Arial"/>
          <w:b/>
          <w:szCs w:val="22"/>
        </w:rPr>
      </w:pPr>
      <w:r w:rsidRPr="008E10E6">
        <w:rPr>
          <w:rFonts w:ascii="Arial" w:hAnsi="Arial" w:cs="Arial"/>
          <w:b/>
          <w:szCs w:val="22"/>
        </w:rPr>
        <w:t>1.4 Why does Council need to act on housing affordability</w:t>
      </w:r>
      <w:r w:rsidR="00223DF2">
        <w:rPr>
          <w:rFonts w:ascii="Arial" w:hAnsi="Arial" w:cs="Arial"/>
          <w:b/>
          <w:szCs w:val="22"/>
        </w:rPr>
        <w:t>?</w:t>
      </w:r>
    </w:p>
    <w:p w:rsidR="009F2464" w:rsidRDefault="00F62741" w:rsidP="00AA7239">
      <w:pPr>
        <w:jc w:val="both"/>
        <w:rPr>
          <w:rFonts w:ascii="Arial" w:hAnsi="Arial" w:cs="Arial"/>
          <w:sz w:val="22"/>
          <w:szCs w:val="22"/>
        </w:rPr>
      </w:pPr>
      <w:r>
        <w:rPr>
          <w:rFonts w:ascii="Arial" w:hAnsi="Arial" w:cs="Arial"/>
          <w:sz w:val="22"/>
          <w:szCs w:val="22"/>
        </w:rPr>
        <w:t>It is currently accepted that the Greater Sydney region is experiencing a housing af</w:t>
      </w:r>
      <w:r w:rsidR="00E667AA">
        <w:rPr>
          <w:rFonts w:ascii="Arial" w:hAnsi="Arial" w:cs="Arial"/>
          <w:sz w:val="22"/>
          <w:szCs w:val="22"/>
        </w:rPr>
        <w:t xml:space="preserve">fordability crisis, and </w:t>
      </w:r>
      <w:r>
        <w:rPr>
          <w:rFonts w:ascii="Arial" w:hAnsi="Arial" w:cs="Arial"/>
          <w:sz w:val="22"/>
          <w:szCs w:val="22"/>
        </w:rPr>
        <w:t>Parramatta is impacted by this. A number of indicators can be used to demonstrate that this issue is significant for the resi</w:t>
      </w:r>
      <w:r w:rsidR="00E667AA">
        <w:rPr>
          <w:rFonts w:ascii="Arial" w:hAnsi="Arial" w:cs="Arial"/>
          <w:sz w:val="22"/>
          <w:szCs w:val="22"/>
        </w:rPr>
        <w:t xml:space="preserve">dents of </w:t>
      </w:r>
      <w:r>
        <w:rPr>
          <w:rFonts w:ascii="Arial" w:hAnsi="Arial" w:cs="Arial"/>
          <w:sz w:val="22"/>
          <w:szCs w:val="22"/>
        </w:rPr>
        <w:t>Parramatta and that action must be taken:</w:t>
      </w:r>
    </w:p>
    <w:p w:rsidR="00F62741" w:rsidRDefault="002E43D4" w:rsidP="00AA7239">
      <w:pPr>
        <w:pStyle w:val="ListParagraph"/>
        <w:numPr>
          <w:ilvl w:val="0"/>
          <w:numId w:val="29"/>
        </w:numPr>
        <w:jc w:val="both"/>
        <w:rPr>
          <w:rFonts w:ascii="Arial" w:hAnsi="Arial" w:cs="Arial"/>
          <w:sz w:val="22"/>
          <w:szCs w:val="22"/>
        </w:rPr>
      </w:pPr>
      <w:r>
        <w:rPr>
          <w:rFonts w:ascii="Arial" w:hAnsi="Arial" w:cs="Arial"/>
          <w:sz w:val="22"/>
          <w:szCs w:val="22"/>
        </w:rPr>
        <w:t>28.5% of</w:t>
      </w:r>
      <w:r w:rsidR="00E667AA">
        <w:rPr>
          <w:rFonts w:ascii="Arial" w:hAnsi="Arial" w:cs="Arial"/>
          <w:sz w:val="22"/>
          <w:szCs w:val="22"/>
        </w:rPr>
        <w:t xml:space="preserve"> </w:t>
      </w:r>
      <w:r w:rsidR="00F62741">
        <w:rPr>
          <w:rFonts w:ascii="Arial" w:hAnsi="Arial" w:cs="Arial"/>
          <w:sz w:val="22"/>
          <w:szCs w:val="22"/>
        </w:rPr>
        <w:t>Parramatta</w:t>
      </w:r>
      <w:r>
        <w:rPr>
          <w:rFonts w:ascii="Arial" w:hAnsi="Arial" w:cs="Arial"/>
          <w:sz w:val="22"/>
          <w:szCs w:val="22"/>
        </w:rPr>
        <w:t>’s residents</w:t>
      </w:r>
      <w:r w:rsidR="00F62741">
        <w:rPr>
          <w:rFonts w:ascii="Arial" w:hAnsi="Arial" w:cs="Arial"/>
          <w:sz w:val="22"/>
          <w:szCs w:val="22"/>
        </w:rPr>
        <w:t xml:space="preserve"> rent</w:t>
      </w:r>
      <w:r>
        <w:rPr>
          <w:rFonts w:ascii="Arial" w:hAnsi="Arial" w:cs="Arial"/>
          <w:sz w:val="22"/>
          <w:szCs w:val="22"/>
        </w:rPr>
        <w:t xml:space="preserve"> in the private market</w:t>
      </w:r>
      <w:r w:rsidR="00F62741">
        <w:rPr>
          <w:rFonts w:ascii="Arial" w:hAnsi="Arial" w:cs="Arial"/>
          <w:sz w:val="22"/>
          <w:szCs w:val="22"/>
        </w:rPr>
        <w:t>, compared with the Greater Sydney average of 25%. This is significant because renting households are more likely to be in housing stress, are more likely to be low income earners, and are more susceptible to changes in housing affordability</w:t>
      </w:r>
      <w:r>
        <w:rPr>
          <w:rFonts w:ascii="Arial" w:hAnsi="Arial" w:cs="Arial"/>
          <w:sz w:val="22"/>
          <w:szCs w:val="22"/>
        </w:rPr>
        <w:t>.</w:t>
      </w:r>
    </w:p>
    <w:p w:rsidR="00F62741" w:rsidRDefault="002E43D4" w:rsidP="00AA7239">
      <w:pPr>
        <w:pStyle w:val="ListParagraph"/>
        <w:numPr>
          <w:ilvl w:val="0"/>
          <w:numId w:val="29"/>
        </w:numPr>
        <w:jc w:val="both"/>
        <w:rPr>
          <w:rFonts w:ascii="Arial" w:hAnsi="Arial" w:cs="Arial"/>
          <w:sz w:val="22"/>
          <w:szCs w:val="22"/>
        </w:rPr>
      </w:pPr>
      <w:r>
        <w:rPr>
          <w:rFonts w:ascii="Arial" w:hAnsi="Arial" w:cs="Arial"/>
          <w:sz w:val="22"/>
          <w:szCs w:val="22"/>
        </w:rPr>
        <w:t>Population Forecast data demonstrates a continued high proportion of couple families with children, lone person households</w:t>
      </w:r>
      <w:r w:rsidRPr="002E43D4">
        <w:rPr>
          <w:rFonts w:ascii="Arial" w:hAnsi="Arial" w:cs="Arial"/>
          <w:sz w:val="22"/>
          <w:szCs w:val="22"/>
        </w:rPr>
        <w:t xml:space="preserve"> </w:t>
      </w:r>
      <w:r>
        <w:rPr>
          <w:rFonts w:ascii="Arial" w:hAnsi="Arial" w:cs="Arial"/>
          <w:sz w:val="22"/>
          <w:szCs w:val="22"/>
        </w:rPr>
        <w:t>and a small but growing number of single parent families – all these groups are more likely to be in housing stress.</w:t>
      </w:r>
    </w:p>
    <w:p w:rsidR="002E43D4" w:rsidRDefault="00324637" w:rsidP="00AA7239">
      <w:pPr>
        <w:pStyle w:val="ListParagraph"/>
        <w:numPr>
          <w:ilvl w:val="0"/>
          <w:numId w:val="29"/>
        </w:numPr>
        <w:jc w:val="both"/>
        <w:rPr>
          <w:rFonts w:ascii="Arial" w:hAnsi="Arial" w:cs="Arial"/>
          <w:sz w:val="22"/>
          <w:szCs w:val="22"/>
        </w:rPr>
      </w:pPr>
      <w:r>
        <w:rPr>
          <w:rFonts w:ascii="Arial" w:hAnsi="Arial" w:cs="Arial"/>
          <w:sz w:val="22"/>
          <w:szCs w:val="22"/>
        </w:rPr>
        <w:t xml:space="preserve">Rent and sales report data shows that median Sydney rents are now very similar to median rents in Parramatta, </w:t>
      </w:r>
      <w:r w:rsidR="00316590">
        <w:rPr>
          <w:rFonts w:ascii="Arial" w:hAnsi="Arial" w:cs="Arial"/>
          <w:sz w:val="22"/>
          <w:szCs w:val="22"/>
        </w:rPr>
        <w:t>and Parramatta has lost its price advantage</w:t>
      </w:r>
      <w:r>
        <w:rPr>
          <w:rFonts w:ascii="Arial" w:hAnsi="Arial" w:cs="Arial"/>
          <w:sz w:val="22"/>
          <w:szCs w:val="22"/>
        </w:rPr>
        <w:t>.</w:t>
      </w:r>
    </w:p>
    <w:p w:rsidR="009E4C84" w:rsidRPr="00324637" w:rsidRDefault="00324637" w:rsidP="00AA7239">
      <w:pPr>
        <w:pStyle w:val="ListParagraph"/>
        <w:numPr>
          <w:ilvl w:val="0"/>
          <w:numId w:val="29"/>
        </w:numPr>
        <w:jc w:val="both"/>
        <w:rPr>
          <w:rFonts w:ascii="Arial" w:hAnsi="Arial" w:cs="Arial"/>
          <w:sz w:val="22"/>
          <w:szCs w:val="22"/>
        </w:rPr>
      </w:pPr>
      <w:r w:rsidRPr="00324637">
        <w:rPr>
          <w:rFonts w:ascii="Arial" w:hAnsi="Arial" w:cs="Arial"/>
          <w:sz w:val="22"/>
          <w:szCs w:val="22"/>
        </w:rPr>
        <w:t>Median house va</w:t>
      </w:r>
      <w:r>
        <w:rPr>
          <w:rFonts w:ascii="Arial" w:hAnsi="Arial" w:cs="Arial"/>
          <w:sz w:val="22"/>
          <w:szCs w:val="22"/>
        </w:rPr>
        <w:t>l</w:t>
      </w:r>
      <w:r w:rsidRPr="00324637">
        <w:rPr>
          <w:rFonts w:ascii="Arial" w:hAnsi="Arial" w:cs="Arial"/>
          <w:sz w:val="22"/>
          <w:szCs w:val="22"/>
        </w:rPr>
        <w:t>ues in</w:t>
      </w:r>
      <w:r w:rsidR="00E667AA">
        <w:rPr>
          <w:rFonts w:ascii="Arial" w:hAnsi="Arial" w:cs="Arial"/>
          <w:sz w:val="22"/>
          <w:szCs w:val="22"/>
        </w:rPr>
        <w:t xml:space="preserve"> the </w:t>
      </w:r>
      <w:r>
        <w:rPr>
          <w:rFonts w:ascii="Arial" w:hAnsi="Arial" w:cs="Arial"/>
          <w:sz w:val="22"/>
          <w:szCs w:val="22"/>
        </w:rPr>
        <w:t>Parramatta are now in excess of $1 million, and well above the Greater Sydney median.</w:t>
      </w:r>
    </w:p>
    <w:p w:rsidR="00F707F7" w:rsidRDefault="00F707F7" w:rsidP="006E499F">
      <w:pPr>
        <w:pBdr>
          <w:bottom w:val="single" w:sz="4" w:space="1" w:color="auto"/>
        </w:pBdr>
        <w:rPr>
          <w:rFonts w:ascii="Arial" w:hAnsi="Arial" w:cs="Arial"/>
          <w:sz w:val="20"/>
          <w:szCs w:val="22"/>
        </w:rPr>
      </w:pPr>
    </w:p>
    <w:p w:rsidR="00C9724C" w:rsidRDefault="00C9724C" w:rsidP="006E499F">
      <w:pPr>
        <w:pBdr>
          <w:bottom w:val="single" w:sz="4" w:space="1" w:color="auto"/>
        </w:pBdr>
        <w:rPr>
          <w:rFonts w:ascii="Arial" w:hAnsi="Arial" w:cs="Arial"/>
          <w:sz w:val="20"/>
          <w:szCs w:val="22"/>
        </w:rPr>
      </w:pPr>
    </w:p>
    <w:p w:rsidR="00AA7239" w:rsidRDefault="00AA7239" w:rsidP="006E499F">
      <w:pPr>
        <w:pBdr>
          <w:bottom w:val="single" w:sz="4" w:space="1" w:color="auto"/>
        </w:pBdr>
        <w:rPr>
          <w:rFonts w:ascii="Arial" w:hAnsi="Arial" w:cs="Arial"/>
          <w:sz w:val="20"/>
          <w:szCs w:val="22"/>
        </w:rPr>
      </w:pPr>
    </w:p>
    <w:p w:rsidR="00AA7239" w:rsidRDefault="00AA7239" w:rsidP="006E499F">
      <w:pPr>
        <w:pBdr>
          <w:bottom w:val="single" w:sz="4" w:space="1" w:color="auto"/>
        </w:pBdr>
        <w:rPr>
          <w:rFonts w:ascii="Arial" w:hAnsi="Arial" w:cs="Arial"/>
          <w:sz w:val="20"/>
          <w:szCs w:val="22"/>
        </w:rPr>
      </w:pPr>
    </w:p>
    <w:p w:rsidR="00AA7239" w:rsidRDefault="00AA7239" w:rsidP="006E499F">
      <w:pPr>
        <w:pBdr>
          <w:bottom w:val="single" w:sz="4" w:space="1" w:color="auto"/>
        </w:pBdr>
        <w:rPr>
          <w:rFonts w:ascii="Arial" w:hAnsi="Arial" w:cs="Arial"/>
          <w:sz w:val="20"/>
          <w:szCs w:val="22"/>
        </w:rPr>
      </w:pPr>
    </w:p>
    <w:p w:rsidR="00E95ED6" w:rsidRPr="008E10E6" w:rsidRDefault="004176F9" w:rsidP="00AA7239">
      <w:pPr>
        <w:pBdr>
          <w:bottom w:val="single" w:sz="4" w:space="1" w:color="auto"/>
        </w:pBdr>
        <w:jc w:val="both"/>
        <w:rPr>
          <w:rFonts w:ascii="Arial" w:hAnsi="Arial" w:cs="Arial"/>
          <w:b/>
          <w:szCs w:val="22"/>
        </w:rPr>
      </w:pPr>
      <w:r w:rsidRPr="008E10E6">
        <w:rPr>
          <w:rFonts w:ascii="Arial" w:hAnsi="Arial" w:cs="Arial"/>
          <w:b/>
          <w:szCs w:val="22"/>
        </w:rPr>
        <w:t>1.5</w:t>
      </w:r>
      <w:r w:rsidR="00A50D3D" w:rsidRPr="008E10E6">
        <w:rPr>
          <w:rFonts w:ascii="Arial" w:hAnsi="Arial" w:cs="Arial"/>
          <w:b/>
          <w:szCs w:val="22"/>
        </w:rPr>
        <w:t xml:space="preserve"> </w:t>
      </w:r>
      <w:r w:rsidR="00E95ED6" w:rsidRPr="008E10E6">
        <w:rPr>
          <w:rFonts w:ascii="Arial" w:hAnsi="Arial" w:cs="Arial"/>
          <w:b/>
          <w:szCs w:val="22"/>
        </w:rPr>
        <w:t>Community expectation</w:t>
      </w:r>
    </w:p>
    <w:p w:rsidR="006B75B2" w:rsidRDefault="007F2B9D" w:rsidP="00AA7239">
      <w:pPr>
        <w:jc w:val="both"/>
        <w:rPr>
          <w:rFonts w:cstheme="minorHAnsi"/>
        </w:rPr>
      </w:pPr>
      <w:r w:rsidRPr="006B75B2">
        <w:rPr>
          <w:rFonts w:ascii="Arial" w:hAnsi="Arial" w:cs="Arial"/>
          <w:sz w:val="22"/>
          <w:szCs w:val="22"/>
        </w:rPr>
        <w:lastRenderedPageBreak/>
        <w:t>The community expects City of Parramatta Council to act</w:t>
      </w:r>
      <w:r w:rsidR="00E95ED6" w:rsidRPr="006B75B2">
        <w:rPr>
          <w:rFonts w:ascii="Arial" w:hAnsi="Arial" w:cs="Arial"/>
          <w:sz w:val="22"/>
          <w:szCs w:val="22"/>
        </w:rPr>
        <w:t xml:space="preserve"> to </w:t>
      </w:r>
      <w:r w:rsidR="00A238B8">
        <w:rPr>
          <w:rFonts w:ascii="Arial" w:hAnsi="Arial" w:cs="Arial"/>
          <w:sz w:val="22"/>
          <w:szCs w:val="22"/>
        </w:rPr>
        <w:t xml:space="preserve">address housing affordability. </w:t>
      </w:r>
      <w:r w:rsidR="00565220">
        <w:rPr>
          <w:rFonts w:ascii="Arial" w:hAnsi="Arial" w:cs="Arial"/>
          <w:sz w:val="22"/>
          <w:szCs w:val="22"/>
        </w:rPr>
        <w:t>During April and May 2017, C</w:t>
      </w:r>
      <w:r w:rsidR="00E95ED6" w:rsidRPr="006B75B2">
        <w:rPr>
          <w:rFonts w:ascii="Arial" w:hAnsi="Arial" w:cs="Arial"/>
          <w:sz w:val="22"/>
          <w:szCs w:val="22"/>
        </w:rPr>
        <w:t>ouncil undertook a survey of the community on housing affordability and the results are summarized as follows:</w:t>
      </w:r>
      <w:r w:rsidR="006B75B2" w:rsidRPr="006B75B2">
        <w:rPr>
          <w:rFonts w:cstheme="minorHAnsi"/>
        </w:rPr>
        <w:t xml:space="preserve"> </w:t>
      </w:r>
    </w:p>
    <w:p w:rsidR="006B75B2" w:rsidRPr="006B75B2" w:rsidRDefault="006B75B2" w:rsidP="00AA7239">
      <w:pPr>
        <w:pStyle w:val="ListParagraph"/>
        <w:numPr>
          <w:ilvl w:val="0"/>
          <w:numId w:val="23"/>
        </w:numPr>
        <w:ind w:hanging="436"/>
        <w:jc w:val="both"/>
        <w:rPr>
          <w:rFonts w:ascii="Arial" w:hAnsi="Arial" w:cs="Arial"/>
          <w:sz w:val="22"/>
          <w:szCs w:val="22"/>
        </w:rPr>
      </w:pPr>
      <w:r w:rsidRPr="006B75B2">
        <w:rPr>
          <w:rFonts w:ascii="Arial" w:hAnsi="Arial" w:cs="Arial"/>
          <w:sz w:val="22"/>
          <w:szCs w:val="22"/>
        </w:rPr>
        <w:t>85% of respondents agreed or strongly agreed with the statement that “affordable rental housing</w:t>
      </w:r>
      <w:r w:rsidR="00577761">
        <w:rPr>
          <w:rFonts w:ascii="Arial" w:hAnsi="Arial" w:cs="Arial"/>
          <w:sz w:val="22"/>
          <w:szCs w:val="22"/>
        </w:rPr>
        <w:t xml:space="preserve"> is important for the community.”</w:t>
      </w:r>
    </w:p>
    <w:p w:rsidR="006B75B2" w:rsidRPr="006B75B2" w:rsidRDefault="006B75B2" w:rsidP="00AA7239">
      <w:pPr>
        <w:pStyle w:val="ListParagraph"/>
        <w:numPr>
          <w:ilvl w:val="0"/>
          <w:numId w:val="23"/>
        </w:numPr>
        <w:ind w:left="709" w:hanging="425"/>
        <w:jc w:val="both"/>
        <w:rPr>
          <w:rFonts w:ascii="Arial" w:hAnsi="Arial" w:cs="Arial"/>
          <w:sz w:val="22"/>
          <w:szCs w:val="22"/>
        </w:rPr>
      </w:pPr>
      <w:r w:rsidRPr="006B75B2">
        <w:rPr>
          <w:rFonts w:ascii="Arial" w:hAnsi="Arial" w:cs="Arial"/>
          <w:sz w:val="22"/>
          <w:szCs w:val="22"/>
        </w:rPr>
        <w:t>The community was strongly supportive of Council taking action to increase the supply of affordable rental housing in the local government area: on a scale of 1 to 10, 1 being not at all supportive, and 10 being very supportive, the median response was 8 out of 10.</w:t>
      </w:r>
    </w:p>
    <w:p w:rsidR="006B75B2" w:rsidRDefault="006B75B2" w:rsidP="00AA7239">
      <w:pPr>
        <w:pStyle w:val="ListParagraph"/>
        <w:numPr>
          <w:ilvl w:val="0"/>
          <w:numId w:val="23"/>
        </w:numPr>
        <w:ind w:left="709" w:hanging="425"/>
        <w:jc w:val="both"/>
        <w:rPr>
          <w:rFonts w:ascii="Arial" w:hAnsi="Arial" w:cs="Arial"/>
          <w:sz w:val="22"/>
          <w:szCs w:val="22"/>
        </w:rPr>
      </w:pPr>
      <w:r w:rsidRPr="006B75B2">
        <w:rPr>
          <w:rFonts w:ascii="Arial" w:hAnsi="Arial" w:cs="Arial"/>
          <w:sz w:val="22"/>
          <w:szCs w:val="22"/>
        </w:rPr>
        <w:t xml:space="preserve">93% of respondents felt that Council should work to improve affordable rental housing. Almost </w:t>
      </w:r>
      <w:r w:rsidR="00577761">
        <w:rPr>
          <w:rFonts w:ascii="Arial" w:hAnsi="Arial" w:cs="Arial"/>
          <w:sz w:val="22"/>
          <w:szCs w:val="22"/>
        </w:rPr>
        <w:t>half of those respondents</w:t>
      </w:r>
      <w:r w:rsidRPr="006B75B2">
        <w:rPr>
          <w:rFonts w:ascii="Arial" w:hAnsi="Arial" w:cs="Arial"/>
          <w:sz w:val="22"/>
          <w:szCs w:val="22"/>
        </w:rPr>
        <w:t xml:space="preserve"> believed that Council should require developers to include affordable rental housing as part of their development as the primary mechanism</w:t>
      </w:r>
      <w:r w:rsidR="00577761">
        <w:rPr>
          <w:rFonts w:ascii="Arial" w:hAnsi="Arial" w:cs="Arial"/>
          <w:sz w:val="22"/>
          <w:szCs w:val="22"/>
        </w:rPr>
        <w:t xml:space="preserve"> to increase supply. The other half of respondents were</w:t>
      </w:r>
      <w:r w:rsidRPr="006B75B2">
        <w:rPr>
          <w:rFonts w:ascii="Arial" w:hAnsi="Arial" w:cs="Arial"/>
          <w:sz w:val="22"/>
          <w:szCs w:val="22"/>
        </w:rPr>
        <w:t xml:space="preserve"> split between using Council land for affordable housing developments and lobbying the State Government to address the issue</w:t>
      </w:r>
      <w:r w:rsidR="00577761">
        <w:rPr>
          <w:rFonts w:ascii="Arial" w:hAnsi="Arial" w:cs="Arial"/>
          <w:sz w:val="22"/>
          <w:szCs w:val="22"/>
        </w:rPr>
        <w:t>.</w:t>
      </w:r>
    </w:p>
    <w:p w:rsidR="00577761" w:rsidRPr="00577761" w:rsidRDefault="00577761" w:rsidP="00AA7239">
      <w:pPr>
        <w:pStyle w:val="ListParagraph"/>
        <w:numPr>
          <w:ilvl w:val="0"/>
          <w:numId w:val="23"/>
        </w:numPr>
        <w:jc w:val="both"/>
        <w:rPr>
          <w:rFonts w:ascii="Arial" w:hAnsi="Arial" w:cs="Arial"/>
          <w:sz w:val="22"/>
        </w:rPr>
      </w:pPr>
      <w:r w:rsidRPr="00577761">
        <w:rPr>
          <w:rFonts w:ascii="Arial" w:hAnsi="Arial" w:cs="Arial"/>
          <w:sz w:val="22"/>
        </w:rPr>
        <w:t>While 85% of people believed it was important to own their own home, only 57% believe</w:t>
      </w:r>
      <w:r>
        <w:rPr>
          <w:rFonts w:ascii="Arial" w:hAnsi="Arial" w:cs="Arial"/>
          <w:sz w:val="22"/>
        </w:rPr>
        <w:t>d</w:t>
      </w:r>
      <w:r w:rsidRPr="00577761">
        <w:rPr>
          <w:rFonts w:ascii="Arial" w:hAnsi="Arial" w:cs="Arial"/>
          <w:sz w:val="22"/>
        </w:rPr>
        <w:t xml:space="preserve"> it was likely th</w:t>
      </w:r>
      <w:r>
        <w:rPr>
          <w:rFonts w:ascii="Arial" w:hAnsi="Arial" w:cs="Arial"/>
          <w:sz w:val="22"/>
        </w:rPr>
        <w:t>at they would be able to do so.</w:t>
      </w:r>
    </w:p>
    <w:p w:rsidR="00577761" w:rsidRPr="00577761" w:rsidRDefault="00577761" w:rsidP="00AA7239">
      <w:pPr>
        <w:pStyle w:val="ListParagraph"/>
        <w:numPr>
          <w:ilvl w:val="0"/>
          <w:numId w:val="23"/>
        </w:numPr>
        <w:jc w:val="both"/>
        <w:rPr>
          <w:rFonts w:ascii="Arial" w:hAnsi="Arial" w:cs="Arial"/>
          <w:sz w:val="22"/>
          <w:szCs w:val="22"/>
        </w:rPr>
      </w:pPr>
      <w:r w:rsidRPr="00577761">
        <w:rPr>
          <w:rFonts w:ascii="Arial" w:hAnsi="Arial" w:cs="Arial"/>
          <w:sz w:val="22"/>
        </w:rPr>
        <w:t xml:space="preserve">In relation to whether or not respondents believed they were currently in housing stress, </w:t>
      </w:r>
      <w:r w:rsidRPr="00577761">
        <w:rPr>
          <w:rFonts w:ascii="Arial" w:hAnsi="Arial" w:cs="Arial"/>
          <w:sz w:val="22"/>
          <w:szCs w:val="22"/>
        </w:rPr>
        <w:t>about a quarter believed they were, while another quarter believed they were at risk of falling into housing stress.</w:t>
      </w:r>
    </w:p>
    <w:p w:rsidR="00577761" w:rsidRPr="00577761" w:rsidRDefault="00577761" w:rsidP="00AA7239">
      <w:pPr>
        <w:pStyle w:val="ListParagraph"/>
        <w:numPr>
          <w:ilvl w:val="0"/>
          <w:numId w:val="23"/>
        </w:numPr>
        <w:jc w:val="both"/>
        <w:rPr>
          <w:rFonts w:ascii="Arial" w:hAnsi="Arial" w:cs="Arial"/>
          <w:sz w:val="22"/>
          <w:szCs w:val="22"/>
        </w:rPr>
      </w:pPr>
      <w:r w:rsidRPr="00577761">
        <w:rPr>
          <w:rFonts w:ascii="Arial" w:hAnsi="Arial" w:cs="Arial"/>
          <w:sz w:val="22"/>
          <w:szCs w:val="22"/>
        </w:rPr>
        <w:t>Only 14% consider</w:t>
      </w:r>
      <w:r>
        <w:rPr>
          <w:rFonts w:ascii="Arial" w:hAnsi="Arial" w:cs="Arial"/>
          <w:sz w:val="22"/>
          <w:szCs w:val="22"/>
        </w:rPr>
        <w:t>ed</w:t>
      </w:r>
      <w:r w:rsidRPr="00577761">
        <w:rPr>
          <w:rFonts w:ascii="Arial" w:hAnsi="Arial" w:cs="Arial"/>
          <w:sz w:val="22"/>
          <w:szCs w:val="22"/>
        </w:rPr>
        <w:t xml:space="preserve"> the City of Parramatta area as affordable for first home buyers.</w:t>
      </w:r>
    </w:p>
    <w:p w:rsidR="006B75B2" w:rsidRDefault="006B75B2" w:rsidP="00AA7239">
      <w:pPr>
        <w:jc w:val="both"/>
        <w:rPr>
          <w:rFonts w:cstheme="minorHAnsi"/>
        </w:rPr>
      </w:pPr>
    </w:p>
    <w:p w:rsidR="00CA42E3" w:rsidRDefault="00F0000D" w:rsidP="00AA7239">
      <w:pPr>
        <w:pBdr>
          <w:bottom w:val="single" w:sz="4" w:space="1" w:color="auto"/>
        </w:pBdr>
        <w:jc w:val="both"/>
        <w:rPr>
          <w:rFonts w:ascii="Arial" w:hAnsi="Arial" w:cs="Arial"/>
          <w:sz w:val="22"/>
          <w:szCs w:val="22"/>
        </w:rPr>
      </w:pPr>
      <w:r>
        <w:rPr>
          <w:rFonts w:ascii="Arial" w:hAnsi="Arial" w:cs="Arial"/>
          <w:sz w:val="22"/>
          <w:szCs w:val="22"/>
        </w:rPr>
        <w:t>These survey findings align with results from national polls</w:t>
      </w:r>
      <w:r w:rsidR="005D63FE">
        <w:rPr>
          <w:rStyle w:val="FootnoteReference"/>
          <w:rFonts w:ascii="Arial" w:hAnsi="Arial" w:cs="Arial"/>
          <w:sz w:val="22"/>
          <w:szCs w:val="22"/>
        </w:rPr>
        <w:footnoteReference w:id="5"/>
      </w:r>
      <w:r>
        <w:rPr>
          <w:rFonts w:ascii="Arial" w:hAnsi="Arial" w:cs="Arial"/>
          <w:sz w:val="22"/>
          <w:szCs w:val="22"/>
        </w:rPr>
        <w:t xml:space="preserve"> and confirm that our community want Council to take action to address this issue.</w:t>
      </w:r>
    </w:p>
    <w:p w:rsidR="00CA42E3" w:rsidRDefault="00CA42E3" w:rsidP="00AA7239">
      <w:pPr>
        <w:pBdr>
          <w:bottom w:val="single" w:sz="4" w:space="1" w:color="auto"/>
        </w:pBdr>
        <w:jc w:val="both"/>
        <w:rPr>
          <w:rFonts w:ascii="Arial" w:hAnsi="Arial" w:cs="Arial"/>
          <w:sz w:val="22"/>
          <w:szCs w:val="22"/>
        </w:rPr>
      </w:pPr>
    </w:p>
    <w:p w:rsidR="00976D48" w:rsidRDefault="00976D48" w:rsidP="00AA7239">
      <w:pPr>
        <w:pBdr>
          <w:bottom w:val="single" w:sz="4" w:space="1" w:color="auto"/>
        </w:pBdr>
        <w:jc w:val="both"/>
        <w:rPr>
          <w:rFonts w:ascii="Arial" w:hAnsi="Arial" w:cs="Arial"/>
          <w:sz w:val="22"/>
          <w:szCs w:val="22"/>
        </w:rPr>
      </w:pPr>
    </w:p>
    <w:p w:rsidR="00976D48" w:rsidRDefault="00976D48" w:rsidP="006E499F">
      <w:pPr>
        <w:pBdr>
          <w:bottom w:val="single" w:sz="4" w:space="1" w:color="auto"/>
        </w:pBdr>
        <w:rPr>
          <w:rFonts w:ascii="Arial" w:hAnsi="Arial" w:cs="Arial"/>
          <w:sz w:val="22"/>
          <w:szCs w:val="22"/>
        </w:rPr>
      </w:pPr>
    </w:p>
    <w:p w:rsidR="00976D48" w:rsidRDefault="00976D48" w:rsidP="006E499F">
      <w:pPr>
        <w:pBdr>
          <w:bottom w:val="single" w:sz="4" w:space="1" w:color="auto"/>
        </w:pBdr>
        <w:rPr>
          <w:rFonts w:ascii="Arial" w:hAnsi="Arial" w:cs="Arial"/>
          <w:sz w:val="22"/>
          <w:szCs w:val="22"/>
        </w:rPr>
      </w:pPr>
    </w:p>
    <w:p w:rsidR="00976D48" w:rsidRDefault="00976D48" w:rsidP="006E499F">
      <w:pPr>
        <w:pBdr>
          <w:bottom w:val="single" w:sz="4" w:space="1" w:color="auto"/>
        </w:pBdr>
        <w:rPr>
          <w:rFonts w:ascii="Arial" w:hAnsi="Arial" w:cs="Arial"/>
          <w:sz w:val="22"/>
          <w:szCs w:val="22"/>
        </w:rPr>
      </w:pPr>
    </w:p>
    <w:p w:rsidR="00976D48" w:rsidRDefault="00976D48" w:rsidP="006E499F">
      <w:pPr>
        <w:pBdr>
          <w:bottom w:val="single" w:sz="4" w:space="1" w:color="auto"/>
        </w:pBdr>
        <w:rPr>
          <w:rFonts w:ascii="Arial" w:hAnsi="Arial" w:cs="Arial"/>
          <w:sz w:val="22"/>
          <w:szCs w:val="22"/>
        </w:rPr>
      </w:pPr>
    </w:p>
    <w:p w:rsidR="00976D48" w:rsidRDefault="00976D48" w:rsidP="006E499F">
      <w:pPr>
        <w:pBdr>
          <w:bottom w:val="single" w:sz="4" w:space="1" w:color="auto"/>
        </w:pBdr>
        <w:rPr>
          <w:rFonts w:ascii="Arial" w:hAnsi="Arial" w:cs="Arial"/>
          <w:sz w:val="22"/>
          <w:szCs w:val="22"/>
        </w:rPr>
      </w:pPr>
    </w:p>
    <w:p w:rsidR="00976D48" w:rsidRDefault="00976D48" w:rsidP="006E499F">
      <w:pPr>
        <w:pBdr>
          <w:bottom w:val="single" w:sz="4" w:space="1" w:color="auto"/>
        </w:pBdr>
        <w:rPr>
          <w:rFonts w:ascii="Arial" w:hAnsi="Arial" w:cs="Arial"/>
          <w:sz w:val="22"/>
          <w:szCs w:val="22"/>
        </w:rPr>
      </w:pPr>
    </w:p>
    <w:p w:rsidR="00976D48" w:rsidRDefault="00976D48" w:rsidP="006E499F">
      <w:pPr>
        <w:pBdr>
          <w:bottom w:val="single" w:sz="4" w:space="1" w:color="auto"/>
        </w:pBdr>
        <w:rPr>
          <w:rFonts w:ascii="Arial" w:hAnsi="Arial" w:cs="Arial"/>
          <w:sz w:val="22"/>
          <w:szCs w:val="22"/>
        </w:rPr>
      </w:pPr>
    </w:p>
    <w:p w:rsidR="00976D48" w:rsidRDefault="00976D48" w:rsidP="006E499F">
      <w:pPr>
        <w:pBdr>
          <w:bottom w:val="single" w:sz="4" w:space="1" w:color="auto"/>
        </w:pBdr>
        <w:rPr>
          <w:rFonts w:ascii="Arial" w:hAnsi="Arial" w:cs="Arial"/>
          <w:sz w:val="22"/>
          <w:szCs w:val="22"/>
        </w:rPr>
      </w:pPr>
    </w:p>
    <w:p w:rsidR="00976D48" w:rsidRDefault="00976D48" w:rsidP="006E499F">
      <w:pPr>
        <w:pBdr>
          <w:bottom w:val="single" w:sz="4" w:space="1" w:color="auto"/>
        </w:pBdr>
        <w:rPr>
          <w:rFonts w:ascii="Arial" w:hAnsi="Arial" w:cs="Arial"/>
          <w:sz w:val="22"/>
          <w:szCs w:val="22"/>
        </w:rPr>
      </w:pPr>
    </w:p>
    <w:p w:rsidR="00976D48" w:rsidRDefault="00976D48" w:rsidP="006E499F">
      <w:pPr>
        <w:pBdr>
          <w:bottom w:val="single" w:sz="4" w:space="1" w:color="auto"/>
        </w:pBdr>
        <w:rPr>
          <w:rFonts w:ascii="Arial" w:hAnsi="Arial" w:cs="Arial"/>
          <w:sz w:val="22"/>
          <w:szCs w:val="22"/>
        </w:rPr>
      </w:pPr>
    </w:p>
    <w:p w:rsidR="00976D48" w:rsidRDefault="00976D48" w:rsidP="006E499F">
      <w:pPr>
        <w:pBdr>
          <w:bottom w:val="single" w:sz="4" w:space="1" w:color="auto"/>
        </w:pBdr>
        <w:rPr>
          <w:rFonts w:ascii="Arial" w:hAnsi="Arial" w:cs="Arial"/>
          <w:sz w:val="22"/>
          <w:szCs w:val="22"/>
        </w:rPr>
      </w:pPr>
    </w:p>
    <w:p w:rsidR="00976D48" w:rsidRDefault="00976D48" w:rsidP="006E499F">
      <w:pPr>
        <w:pBdr>
          <w:bottom w:val="single" w:sz="4" w:space="1" w:color="auto"/>
        </w:pBdr>
        <w:rPr>
          <w:rFonts w:ascii="Arial" w:hAnsi="Arial" w:cs="Arial"/>
          <w:sz w:val="22"/>
          <w:szCs w:val="22"/>
        </w:rPr>
      </w:pPr>
    </w:p>
    <w:p w:rsidR="00976D48" w:rsidRDefault="00976D48" w:rsidP="006E499F">
      <w:pPr>
        <w:pBdr>
          <w:bottom w:val="single" w:sz="4" w:space="1" w:color="auto"/>
        </w:pBdr>
        <w:rPr>
          <w:rFonts w:ascii="Arial" w:hAnsi="Arial" w:cs="Arial"/>
          <w:sz w:val="22"/>
          <w:szCs w:val="22"/>
        </w:rPr>
      </w:pPr>
    </w:p>
    <w:p w:rsidR="00976D48" w:rsidRDefault="00976D48" w:rsidP="006E499F">
      <w:pPr>
        <w:pBdr>
          <w:bottom w:val="single" w:sz="4" w:space="1" w:color="auto"/>
        </w:pBdr>
        <w:rPr>
          <w:rFonts w:ascii="Arial" w:hAnsi="Arial" w:cs="Arial"/>
          <w:sz w:val="22"/>
          <w:szCs w:val="22"/>
        </w:rPr>
      </w:pPr>
    </w:p>
    <w:p w:rsidR="00E667AA" w:rsidRDefault="00E667AA" w:rsidP="006E499F">
      <w:pPr>
        <w:pBdr>
          <w:bottom w:val="single" w:sz="4" w:space="1" w:color="auto"/>
        </w:pBdr>
        <w:rPr>
          <w:rFonts w:ascii="Arial" w:hAnsi="Arial" w:cs="Arial"/>
          <w:sz w:val="22"/>
          <w:szCs w:val="22"/>
        </w:rPr>
      </w:pPr>
    </w:p>
    <w:p w:rsidR="00976D48" w:rsidRPr="00DB0317" w:rsidRDefault="00976D48" w:rsidP="006E499F">
      <w:pPr>
        <w:pBdr>
          <w:bottom w:val="single" w:sz="4" w:space="1" w:color="auto"/>
        </w:pBdr>
        <w:rPr>
          <w:rFonts w:ascii="Arial" w:hAnsi="Arial" w:cs="Arial"/>
          <w:sz w:val="22"/>
          <w:szCs w:val="22"/>
        </w:rPr>
      </w:pPr>
    </w:p>
    <w:p w:rsidR="006E499F" w:rsidRPr="008E10E6" w:rsidRDefault="006E499F" w:rsidP="00125881">
      <w:pPr>
        <w:pStyle w:val="ListParagraph"/>
        <w:numPr>
          <w:ilvl w:val="0"/>
          <w:numId w:val="5"/>
        </w:numPr>
        <w:ind w:left="426" w:hanging="426"/>
        <w:jc w:val="both"/>
        <w:rPr>
          <w:rFonts w:ascii="Arial" w:hAnsi="Arial" w:cs="Arial"/>
          <w:b/>
          <w:sz w:val="28"/>
          <w:szCs w:val="22"/>
        </w:rPr>
      </w:pPr>
      <w:r w:rsidRPr="008E10E6">
        <w:rPr>
          <w:rFonts w:ascii="Arial" w:hAnsi="Arial" w:cs="Arial"/>
          <w:b/>
          <w:sz w:val="28"/>
          <w:szCs w:val="22"/>
        </w:rPr>
        <w:lastRenderedPageBreak/>
        <w:t>Scope</w:t>
      </w:r>
    </w:p>
    <w:p w:rsidR="006E499F" w:rsidRPr="00AB5FEC" w:rsidRDefault="006E499F" w:rsidP="00125881">
      <w:pPr>
        <w:jc w:val="both"/>
        <w:rPr>
          <w:rFonts w:ascii="Arial" w:hAnsi="Arial" w:cs="Arial"/>
          <w:b/>
          <w:sz w:val="20"/>
          <w:szCs w:val="22"/>
        </w:rPr>
      </w:pPr>
    </w:p>
    <w:p w:rsidR="00417A88" w:rsidRPr="00D75456" w:rsidRDefault="00417A88" w:rsidP="00125881">
      <w:pPr>
        <w:jc w:val="both"/>
        <w:rPr>
          <w:rFonts w:ascii="Arial" w:hAnsi="Arial" w:cs="Arial"/>
          <w:sz w:val="22"/>
          <w:szCs w:val="22"/>
          <w:lang w:eastAsia="en-AU"/>
        </w:rPr>
      </w:pPr>
      <w:r w:rsidRPr="00D75456">
        <w:rPr>
          <w:rFonts w:ascii="Arial" w:hAnsi="Arial" w:cs="Arial"/>
          <w:sz w:val="22"/>
          <w:szCs w:val="22"/>
          <w:lang w:eastAsia="en-AU"/>
        </w:rPr>
        <w:t xml:space="preserve">This Policy </w:t>
      </w:r>
      <w:r>
        <w:rPr>
          <w:rFonts w:ascii="Arial" w:hAnsi="Arial" w:cs="Arial"/>
          <w:sz w:val="22"/>
          <w:szCs w:val="22"/>
          <w:lang w:eastAsia="en-AU"/>
        </w:rPr>
        <w:t>articulates</w:t>
      </w:r>
      <w:r w:rsidRPr="00D75456">
        <w:rPr>
          <w:rFonts w:ascii="Arial" w:hAnsi="Arial" w:cs="Arial"/>
          <w:sz w:val="22"/>
          <w:szCs w:val="22"/>
          <w:lang w:eastAsia="en-AU"/>
        </w:rPr>
        <w:t xml:space="preserve"> City of Parramatta</w:t>
      </w:r>
      <w:r>
        <w:rPr>
          <w:rFonts w:ascii="Arial" w:hAnsi="Arial" w:cs="Arial"/>
          <w:sz w:val="22"/>
          <w:szCs w:val="22"/>
          <w:lang w:eastAsia="en-AU"/>
        </w:rPr>
        <w:t xml:space="preserve"> Council</w:t>
      </w:r>
      <w:r w:rsidRPr="00D75456">
        <w:rPr>
          <w:rFonts w:ascii="Arial" w:hAnsi="Arial" w:cs="Arial"/>
          <w:sz w:val="22"/>
          <w:szCs w:val="22"/>
          <w:lang w:eastAsia="en-AU"/>
        </w:rPr>
        <w:t xml:space="preserve">’s position on </w:t>
      </w:r>
      <w:r>
        <w:rPr>
          <w:rFonts w:ascii="Arial" w:hAnsi="Arial" w:cs="Arial"/>
          <w:sz w:val="22"/>
          <w:szCs w:val="22"/>
          <w:lang w:eastAsia="en-AU"/>
        </w:rPr>
        <w:t xml:space="preserve">the issue of </w:t>
      </w:r>
      <w:r w:rsidRPr="00D75456">
        <w:rPr>
          <w:rFonts w:ascii="Arial" w:hAnsi="Arial" w:cs="Arial"/>
          <w:sz w:val="22"/>
          <w:szCs w:val="22"/>
          <w:lang w:eastAsia="en-AU"/>
        </w:rPr>
        <w:t>housing</w:t>
      </w:r>
      <w:r>
        <w:rPr>
          <w:rFonts w:ascii="Arial" w:hAnsi="Arial" w:cs="Arial"/>
          <w:sz w:val="22"/>
          <w:szCs w:val="22"/>
          <w:lang w:eastAsia="en-AU"/>
        </w:rPr>
        <w:t xml:space="preserve"> affordability</w:t>
      </w:r>
      <w:r w:rsidRPr="00D75456">
        <w:rPr>
          <w:rFonts w:ascii="Arial" w:hAnsi="Arial" w:cs="Arial"/>
          <w:sz w:val="22"/>
          <w:szCs w:val="22"/>
          <w:lang w:eastAsia="en-AU"/>
        </w:rPr>
        <w:t xml:space="preserve"> </w:t>
      </w:r>
      <w:r>
        <w:rPr>
          <w:rFonts w:ascii="Arial" w:hAnsi="Arial" w:cs="Arial"/>
          <w:sz w:val="22"/>
          <w:szCs w:val="22"/>
          <w:lang w:eastAsia="en-AU"/>
        </w:rPr>
        <w:t xml:space="preserve">and how the City will act to encourage delivery of affordable rental housing in order to address it. </w:t>
      </w:r>
      <w:r w:rsidR="00FB2D0C">
        <w:rPr>
          <w:rFonts w:ascii="Arial" w:hAnsi="Arial" w:cs="Arial"/>
          <w:sz w:val="22"/>
          <w:szCs w:val="22"/>
          <w:lang w:eastAsia="en-AU"/>
        </w:rPr>
        <w:t>This</w:t>
      </w:r>
      <w:r>
        <w:rPr>
          <w:rFonts w:ascii="Arial" w:hAnsi="Arial" w:cs="Arial"/>
          <w:sz w:val="22"/>
          <w:szCs w:val="22"/>
          <w:lang w:eastAsia="en-AU"/>
        </w:rPr>
        <w:t xml:space="preserve"> Policy outlines</w:t>
      </w:r>
      <w:r w:rsidRPr="00D75456">
        <w:rPr>
          <w:rFonts w:ascii="Arial" w:hAnsi="Arial" w:cs="Arial"/>
          <w:sz w:val="22"/>
          <w:szCs w:val="22"/>
          <w:lang w:eastAsia="en-AU"/>
        </w:rPr>
        <w:t xml:space="preserve"> how </w:t>
      </w:r>
      <w:r>
        <w:rPr>
          <w:rFonts w:ascii="Arial" w:hAnsi="Arial" w:cs="Arial"/>
          <w:sz w:val="22"/>
          <w:szCs w:val="22"/>
          <w:lang w:eastAsia="en-AU"/>
        </w:rPr>
        <w:t>Council</w:t>
      </w:r>
      <w:r w:rsidRPr="00D75456">
        <w:rPr>
          <w:rFonts w:ascii="Arial" w:hAnsi="Arial" w:cs="Arial"/>
          <w:sz w:val="22"/>
          <w:szCs w:val="22"/>
          <w:lang w:eastAsia="en-AU"/>
        </w:rPr>
        <w:t xml:space="preserve"> will:</w:t>
      </w:r>
    </w:p>
    <w:p w:rsidR="00417A88" w:rsidRDefault="00417A88" w:rsidP="00125881">
      <w:pPr>
        <w:pStyle w:val="ListParagraph"/>
        <w:numPr>
          <w:ilvl w:val="0"/>
          <w:numId w:val="7"/>
        </w:numPr>
        <w:jc w:val="both"/>
        <w:rPr>
          <w:rFonts w:ascii="Arial" w:hAnsi="Arial" w:cs="Arial"/>
          <w:sz w:val="22"/>
          <w:szCs w:val="22"/>
          <w:lang w:eastAsia="en-AU"/>
        </w:rPr>
      </w:pPr>
      <w:r w:rsidRPr="00D75456">
        <w:rPr>
          <w:rFonts w:ascii="Arial" w:hAnsi="Arial" w:cs="Arial"/>
          <w:sz w:val="22"/>
          <w:szCs w:val="22"/>
          <w:lang w:eastAsia="en-AU"/>
        </w:rPr>
        <w:t xml:space="preserve">Advocate on </w:t>
      </w:r>
      <w:r>
        <w:rPr>
          <w:rFonts w:ascii="Arial" w:hAnsi="Arial" w:cs="Arial"/>
          <w:sz w:val="22"/>
          <w:szCs w:val="22"/>
          <w:lang w:eastAsia="en-AU"/>
        </w:rPr>
        <w:t xml:space="preserve">issues that impact </w:t>
      </w:r>
      <w:r w:rsidRPr="00D75456">
        <w:rPr>
          <w:rFonts w:ascii="Arial" w:hAnsi="Arial" w:cs="Arial"/>
          <w:sz w:val="22"/>
          <w:szCs w:val="22"/>
          <w:lang w:eastAsia="en-AU"/>
        </w:rPr>
        <w:t>housing affordability generally;</w:t>
      </w:r>
    </w:p>
    <w:p w:rsidR="00417A88" w:rsidRPr="00D75456" w:rsidRDefault="00417A88" w:rsidP="00125881">
      <w:pPr>
        <w:pStyle w:val="ListParagraph"/>
        <w:numPr>
          <w:ilvl w:val="0"/>
          <w:numId w:val="7"/>
        </w:numPr>
        <w:jc w:val="both"/>
        <w:rPr>
          <w:rFonts w:ascii="Arial" w:hAnsi="Arial" w:cs="Arial"/>
          <w:sz w:val="22"/>
          <w:szCs w:val="22"/>
          <w:lang w:eastAsia="en-AU"/>
        </w:rPr>
      </w:pPr>
      <w:r>
        <w:rPr>
          <w:rFonts w:ascii="Arial" w:hAnsi="Arial" w:cs="Arial"/>
          <w:sz w:val="22"/>
          <w:szCs w:val="22"/>
          <w:lang w:eastAsia="en-AU"/>
        </w:rPr>
        <w:t>Advocate to the NSW Government for delivery of more social housing;</w:t>
      </w:r>
    </w:p>
    <w:p w:rsidR="00417A88" w:rsidRPr="00D75456" w:rsidRDefault="00417A88" w:rsidP="00125881">
      <w:pPr>
        <w:pStyle w:val="ListParagraph"/>
        <w:numPr>
          <w:ilvl w:val="0"/>
          <w:numId w:val="7"/>
        </w:numPr>
        <w:jc w:val="both"/>
        <w:rPr>
          <w:rFonts w:ascii="Arial" w:hAnsi="Arial" w:cs="Arial"/>
          <w:sz w:val="22"/>
          <w:szCs w:val="22"/>
          <w:lang w:eastAsia="en-AU"/>
        </w:rPr>
      </w:pPr>
      <w:r w:rsidRPr="00D75456">
        <w:rPr>
          <w:rFonts w:ascii="Arial" w:hAnsi="Arial" w:cs="Arial"/>
          <w:sz w:val="22"/>
          <w:szCs w:val="22"/>
          <w:lang w:eastAsia="en-AU"/>
        </w:rPr>
        <w:t>Support the delivery of new affordable</w:t>
      </w:r>
      <w:r w:rsidR="00FB2D0C">
        <w:rPr>
          <w:rFonts w:ascii="Arial" w:hAnsi="Arial" w:cs="Arial"/>
          <w:sz w:val="22"/>
          <w:szCs w:val="22"/>
          <w:lang w:eastAsia="en-AU"/>
        </w:rPr>
        <w:t xml:space="preserve"> rental</w:t>
      </w:r>
      <w:r w:rsidRPr="00D75456">
        <w:rPr>
          <w:rFonts w:ascii="Arial" w:hAnsi="Arial" w:cs="Arial"/>
          <w:sz w:val="22"/>
          <w:szCs w:val="22"/>
          <w:lang w:eastAsia="en-AU"/>
        </w:rPr>
        <w:t xml:space="preserve"> housing; and</w:t>
      </w:r>
    </w:p>
    <w:p w:rsidR="00417A88" w:rsidRPr="00D75456" w:rsidRDefault="00417A88" w:rsidP="00125881">
      <w:pPr>
        <w:pStyle w:val="ListParagraph"/>
        <w:numPr>
          <w:ilvl w:val="0"/>
          <w:numId w:val="7"/>
        </w:numPr>
        <w:jc w:val="both"/>
        <w:rPr>
          <w:rFonts w:ascii="Arial" w:hAnsi="Arial" w:cs="Arial"/>
          <w:sz w:val="22"/>
          <w:szCs w:val="22"/>
          <w:lang w:eastAsia="en-AU"/>
        </w:rPr>
      </w:pPr>
      <w:r w:rsidRPr="00D75456">
        <w:rPr>
          <w:rFonts w:ascii="Arial" w:hAnsi="Arial" w:cs="Arial"/>
          <w:sz w:val="22"/>
          <w:szCs w:val="22"/>
          <w:lang w:eastAsia="en-AU"/>
        </w:rPr>
        <w:t xml:space="preserve">Directly provide new affordable </w:t>
      </w:r>
      <w:r w:rsidR="00FB2D0C">
        <w:rPr>
          <w:rFonts w:ascii="Arial" w:hAnsi="Arial" w:cs="Arial"/>
          <w:sz w:val="22"/>
          <w:szCs w:val="22"/>
          <w:lang w:eastAsia="en-AU"/>
        </w:rPr>
        <w:t xml:space="preserve">rental </w:t>
      </w:r>
      <w:r w:rsidRPr="00D75456">
        <w:rPr>
          <w:rFonts w:ascii="Arial" w:hAnsi="Arial" w:cs="Arial"/>
          <w:sz w:val="22"/>
          <w:szCs w:val="22"/>
          <w:lang w:eastAsia="en-AU"/>
        </w:rPr>
        <w:t>housing.</w:t>
      </w:r>
    </w:p>
    <w:p w:rsidR="00417A88" w:rsidRDefault="00417A88" w:rsidP="00125881">
      <w:pPr>
        <w:contextualSpacing/>
        <w:jc w:val="both"/>
        <w:rPr>
          <w:rFonts w:ascii="Arial" w:hAnsi="Arial" w:cs="Arial"/>
          <w:b/>
          <w:sz w:val="22"/>
          <w:szCs w:val="22"/>
        </w:rPr>
      </w:pPr>
    </w:p>
    <w:p w:rsidR="00417A88" w:rsidRPr="008E10E6" w:rsidRDefault="00417A88" w:rsidP="00125881">
      <w:pPr>
        <w:contextualSpacing/>
        <w:jc w:val="both"/>
        <w:rPr>
          <w:rFonts w:ascii="Arial" w:hAnsi="Arial" w:cs="Arial"/>
          <w:b/>
          <w:szCs w:val="22"/>
        </w:rPr>
      </w:pPr>
      <w:r w:rsidRPr="008E10E6">
        <w:rPr>
          <w:rFonts w:ascii="Arial" w:hAnsi="Arial" w:cs="Arial"/>
          <w:b/>
          <w:szCs w:val="22"/>
        </w:rPr>
        <w:t xml:space="preserve">2.1 </w:t>
      </w:r>
      <w:r w:rsidR="004A7E11" w:rsidRPr="008E10E6">
        <w:rPr>
          <w:rFonts w:ascii="Arial" w:hAnsi="Arial" w:cs="Arial"/>
          <w:b/>
          <w:szCs w:val="22"/>
        </w:rPr>
        <w:t>The housing supply c</w:t>
      </w:r>
      <w:r w:rsidRPr="008E10E6">
        <w:rPr>
          <w:rFonts w:ascii="Arial" w:hAnsi="Arial" w:cs="Arial"/>
          <w:b/>
          <w:szCs w:val="22"/>
        </w:rPr>
        <w:t>ontinuum</w:t>
      </w:r>
    </w:p>
    <w:p w:rsidR="00417A88" w:rsidRDefault="00417A88" w:rsidP="00125881">
      <w:pPr>
        <w:contextualSpacing/>
        <w:jc w:val="both"/>
        <w:rPr>
          <w:rFonts w:ascii="Arial" w:hAnsi="Arial" w:cs="Arial"/>
          <w:sz w:val="22"/>
          <w:szCs w:val="22"/>
        </w:rPr>
      </w:pPr>
      <w:r>
        <w:rPr>
          <w:rFonts w:ascii="Arial" w:hAnsi="Arial" w:cs="Arial"/>
          <w:sz w:val="22"/>
          <w:szCs w:val="22"/>
        </w:rPr>
        <w:t>Council takes the view that housing needs can be understood as a spectrum. At one end</w:t>
      </w:r>
      <w:r w:rsidR="007D37EF">
        <w:rPr>
          <w:rFonts w:ascii="Arial" w:hAnsi="Arial" w:cs="Arial"/>
          <w:sz w:val="22"/>
          <w:szCs w:val="22"/>
        </w:rPr>
        <w:t xml:space="preserve"> of the spectrum</w:t>
      </w:r>
      <w:r>
        <w:rPr>
          <w:rFonts w:ascii="Arial" w:hAnsi="Arial" w:cs="Arial"/>
          <w:sz w:val="22"/>
          <w:szCs w:val="22"/>
        </w:rPr>
        <w:t xml:space="preserve"> we have highly subsidized forms of housing, and at the other </w:t>
      </w:r>
      <w:r w:rsidR="007D37EF">
        <w:rPr>
          <w:rFonts w:ascii="Arial" w:hAnsi="Arial" w:cs="Arial"/>
          <w:sz w:val="22"/>
          <w:szCs w:val="22"/>
        </w:rPr>
        <w:t xml:space="preserve">end </w:t>
      </w:r>
      <w:r>
        <w:rPr>
          <w:rFonts w:ascii="Arial" w:hAnsi="Arial" w:cs="Arial"/>
          <w:sz w:val="22"/>
          <w:szCs w:val="22"/>
        </w:rPr>
        <w:t xml:space="preserve">we have private home ownership that is provided by the </w:t>
      </w:r>
      <w:r w:rsidR="00B54662">
        <w:rPr>
          <w:rFonts w:ascii="Arial" w:hAnsi="Arial" w:cs="Arial"/>
          <w:sz w:val="22"/>
          <w:szCs w:val="22"/>
        </w:rPr>
        <w:t xml:space="preserve">competitive </w:t>
      </w:r>
      <w:r>
        <w:rPr>
          <w:rFonts w:ascii="Arial" w:hAnsi="Arial" w:cs="Arial"/>
          <w:sz w:val="22"/>
          <w:szCs w:val="22"/>
        </w:rPr>
        <w:t xml:space="preserve">housing market. </w:t>
      </w:r>
    </w:p>
    <w:p w:rsidR="00F53917" w:rsidRDefault="00F53917" w:rsidP="00417A88">
      <w:pPr>
        <w:contextualSpacing/>
        <w:rPr>
          <w:rFonts w:ascii="Arial" w:hAnsi="Arial" w:cs="Arial"/>
          <w:sz w:val="22"/>
          <w:szCs w:val="22"/>
        </w:rPr>
      </w:pPr>
    </w:p>
    <w:tbl>
      <w:tblPr>
        <w:tblStyle w:val="TableGrid"/>
        <w:tblW w:w="9924" w:type="dxa"/>
        <w:jc w:val="center"/>
        <w:tblLayout w:type="fixed"/>
        <w:tblLook w:val="04A0" w:firstRow="1" w:lastRow="0" w:firstColumn="1" w:lastColumn="0" w:noHBand="0" w:noVBand="1"/>
      </w:tblPr>
      <w:tblGrid>
        <w:gridCol w:w="1536"/>
        <w:gridCol w:w="1251"/>
        <w:gridCol w:w="1038"/>
        <w:gridCol w:w="1271"/>
        <w:gridCol w:w="1151"/>
        <w:gridCol w:w="1550"/>
        <w:gridCol w:w="993"/>
        <w:gridCol w:w="1134"/>
      </w:tblGrid>
      <w:tr w:rsidR="00417A88" w:rsidTr="007A5A8D">
        <w:trPr>
          <w:trHeight w:val="404"/>
          <w:jc w:val="center"/>
        </w:trPr>
        <w:tc>
          <w:tcPr>
            <w:tcW w:w="9924" w:type="dxa"/>
            <w:gridSpan w:val="8"/>
            <w:shd w:val="clear" w:color="auto" w:fill="E5DFEC" w:themeFill="accent4" w:themeFillTint="33"/>
          </w:tcPr>
          <w:p w:rsidR="00417A88" w:rsidRPr="008A08A5" w:rsidRDefault="00DF2A4A" w:rsidP="00DF2A4A">
            <w:pPr>
              <w:rPr>
                <w:rFonts w:ascii="Arial" w:hAnsi="Arial" w:cs="Arial"/>
                <w:b/>
                <w:bCs/>
                <w:color w:val="000000"/>
              </w:rPr>
            </w:pPr>
            <w:r w:rsidRPr="00DF2A4A">
              <w:rPr>
                <w:rFonts w:ascii="Arial" w:hAnsi="Arial" w:cs="Arial"/>
                <w:b/>
                <w:bCs/>
                <w:color w:val="000000"/>
              </w:rPr>
              <w:t xml:space="preserve">Table 2. </w:t>
            </w:r>
            <w:r w:rsidR="00417A88" w:rsidRPr="00DF2A4A">
              <w:rPr>
                <w:rFonts w:ascii="Arial" w:hAnsi="Arial" w:cs="Arial"/>
                <w:b/>
                <w:bCs/>
                <w:color w:val="000000"/>
              </w:rPr>
              <w:t>The housing supply continuum</w:t>
            </w:r>
            <w:r w:rsidR="00417A88" w:rsidRPr="00DF2A4A">
              <w:rPr>
                <w:rStyle w:val="FootnoteReference"/>
                <w:rFonts w:ascii="Arial" w:hAnsi="Arial" w:cs="Arial"/>
                <w:b/>
                <w:bCs/>
                <w:color w:val="000000"/>
              </w:rPr>
              <w:footnoteReference w:id="6"/>
            </w:r>
          </w:p>
        </w:tc>
      </w:tr>
      <w:tr w:rsidR="00417A88" w:rsidTr="00CA42E3">
        <w:trPr>
          <w:jc w:val="center"/>
        </w:trPr>
        <w:tc>
          <w:tcPr>
            <w:tcW w:w="1536" w:type="dxa"/>
          </w:tcPr>
          <w:p w:rsidR="00417A88" w:rsidRPr="008A08A5" w:rsidRDefault="00417A88" w:rsidP="00CA42E3">
            <w:pPr>
              <w:rPr>
                <w:rFonts w:ascii="Arial" w:hAnsi="Arial" w:cs="Arial"/>
                <w:color w:val="000000"/>
                <w:sz w:val="18"/>
                <w:szCs w:val="20"/>
              </w:rPr>
            </w:pPr>
            <w:r w:rsidRPr="008A08A5">
              <w:rPr>
                <w:rFonts w:ascii="Arial" w:hAnsi="Arial" w:cs="Arial"/>
                <w:color w:val="000000"/>
                <w:sz w:val="18"/>
                <w:szCs w:val="20"/>
              </w:rPr>
              <w:t>Emergency shelters / crisis accommodation</w:t>
            </w:r>
          </w:p>
        </w:tc>
        <w:tc>
          <w:tcPr>
            <w:tcW w:w="1251" w:type="dxa"/>
          </w:tcPr>
          <w:p w:rsidR="00417A88" w:rsidRPr="008A08A5" w:rsidRDefault="00417A88" w:rsidP="00CA42E3">
            <w:pPr>
              <w:rPr>
                <w:rFonts w:ascii="Arial" w:hAnsi="Arial" w:cs="Arial"/>
                <w:color w:val="000000"/>
                <w:sz w:val="18"/>
                <w:szCs w:val="20"/>
              </w:rPr>
            </w:pPr>
            <w:r w:rsidRPr="008A08A5">
              <w:rPr>
                <w:rFonts w:ascii="Arial" w:hAnsi="Arial" w:cs="Arial"/>
                <w:color w:val="000000"/>
                <w:sz w:val="18"/>
                <w:szCs w:val="20"/>
              </w:rPr>
              <w:t>Transitional/ supported housing</w:t>
            </w:r>
          </w:p>
        </w:tc>
        <w:tc>
          <w:tcPr>
            <w:tcW w:w="1038" w:type="dxa"/>
          </w:tcPr>
          <w:p w:rsidR="00417A88" w:rsidRPr="008A08A5" w:rsidRDefault="00417A88" w:rsidP="00CA42E3">
            <w:pPr>
              <w:rPr>
                <w:rFonts w:ascii="Arial" w:hAnsi="Arial" w:cs="Arial"/>
                <w:color w:val="000000"/>
                <w:sz w:val="18"/>
                <w:szCs w:val="20"/>
              </w:rPr>
            </w:pPr>
            <w:r w:rsidRPr="008A08A5">
              <w:rPr>
                <w:rFonts w:ascii="Arial" w:hAnsi="Arial" w:cs="Arial"/>
                <w:color w:val="000000"/>
                <w:sz w:val="18"/>
                <w:szCs w:val="20"/>
              </w:rPr>
              <w:t>Social housing (including public housing)</w:t>
            </w:r>
          </w:p>
        </w:tc>
        <w:tc>
          <w:tcPr>
            <w:tcW w:w="1271" w:type="dxa"/>
            <w:shd w:val="clear" w:color="auto" w:fill="EAF1DD" w:themeFill="accent3" w:themeFillTint="33"/>
          </w:tcPr>
          <w:p w:rsidR="00417A88" w:rsidRPr="008A08A5" w:rsidRDefault="00417A88" w:rsidP="00CA42E3">
            <w:pPr>
              <w:rPr>
                <w:rFonts w:ascii="Arial" w:hAnsi="Arial" w:cs="Arial"/>
                <w:color w:val="000000"/>
                <w:sz w:val="18"/>
                <w:szCs w:val="20"/>
              </w:rPr>
            </w:pPr>
            <w:r w:rsidRPr="008A08A5">
              <w:rPr>
                <w:rFonts w:ascii="Arial" w:hAnsi="Arial" w:cs="Arial"/>
                <w:color w:val="000000"/>
                <w:sz w:val="18"/>
                <w:szCs w:val="20"/>
              </w:rPr>
              <w:t xml:space="preserve">Affordable </w:t>
            </w:r>
            <w:r w:rsidR="00AF7A2B">
              <w:rPr>
                <w:rFonts w:ascii="Arial" w:hAnsi="Arial" w:cs="Arial"/>
                <w:color w:val="000000"/>
                <w:sz w:val="18"/>
                <w:szCs w:val="20"/>
              </w:rPr>
              <w:t xml:space="preserve">rental </w:t>
            </w:r>
            <w:r w:rsidRPr="008A08A5">
              <w:rPr>
                <w:rFonts w:ascii="Arial" w:hAnsi="Arial" w:cs="Arial"/>
                <w:color w:val="000000"/>
                <w:sz w:val="18"/>
                <w:szCs w:val="20"/>
              </w:rPr>
              <w:t>housing (operated by community housing providers)</w:t>
            </w:r>
          </w:p>
        </w:tc>
        <w:tc>
          <w:tcPr>
            <w:tcW w:w="1151" w:type="dxa"/>
            <w:shd w:val="clear" w:color="auto" w:fill="EAF1DD" w:themeFill="accent3" w:themeFillTint="33"/>
          </w:tcPr>
          <w:p w:rsidR="00417A88" w:rsidRPr="008A08A5" w:rsidRDefault="00417A88" w:rsidP="00CA42E3">
            <w:pPr>
              <w:rPr>
                <w:rFonts w:ascii="Arial" w:hAnsi="Arial" w:cs="Arial"/>
                <w:color w:val="000000"/>
                <w:sz w:val="18"/>
                <w:szCs w:val="20"/>
              </w:rPr>
            </w:pPr>
            <w:r w:rsidRPr="008A08A5">
              <w:rPr>
                <w:rFonts w:ascii="Arial" w:hAnsi="Arial" w:cs="Arial"/>
                <w:color w:val="000000"/>
                <w:sz w:val="18"/>
                <w:szCs w:val="20"/>
              </w:rPr>
              <w:t>Affordable home ownership/</w:t>
            </w:r>
          </w:p>
          <w:p w:rsidR="00417A88" w:rsidRPr="008A08A5" w:rsidRDefault="00417A88" w:rsidP="00CA42E3">
            <w:pPr>
              <w:rPr>
                <w:rFonts w:ascii="Arial" w:hAnsi="Arial" w:cs="Arial"/>
                <w:color w:val="000000"/>
                <w:sz w:val="18"/>
                <w:szCs w:val="20"/>
              </w:rPr>
            </w:pPr>
            <w:r w:rsidRPr="008A08A5">
              <w:rPr>
                <w:rFonts w:ascii="Arial" w:hAnsi="Arial" w:cs="Arial"/>
                <w:color w:val="000000"/>
                <w:sz w:val="18"/>
                <w:szCs w:val="20"/>
              </w:rPr>
              <w:t>shared home ownership</w:t>
            </w:r>
          </w:p>
        </w:tc>
        <w:tc>
          <w:tcPr>
            <w:tcW w:w="1550" w:type="dxa"/>
            <w:shd w:val="clear" w:color="auto" w:fill="D6E3BC" w:themeFill="accent3" w:themeFillTint="66"/>
          </w:tcPr>
          <w:p w:rsidR="00417A88" w:rsidRPr="008A08A5" w:rsidRDefault="00417A88" w:rsidP="00CA42E3">
            <w:pPr>
              <w:rPr>
                <w:rFonts w:ascii="Arial" w:hAnsi="Arial" w:cs="Arial"/>
                <w:color w:val="000000"/>
                <w:sz w:val="18"/>
                <w:szCs w:val="20"/>
              </w:rPr>
            </w:pPr>
            <w:r w:rsidRPr="008A08A5">
              <w:rPr>
                <w:rFonts w:ascii="Arial" w:hAnsi="Arial" w:cs="Arial"/>
                <w:color w:val="000000"/>
                <w:sz w:val="18"/>
                <w:szCs w:val="20"/>
              </w:rPr>
              <w:t>Private market rental housing (including boarding houses and student accommodation, which may be government subsidized)</w:t>
            </w:r>
          </w:p>
        </w:tc>
        <w:tc>
          <w:tcPr>
            <w:tcW w:w="993" w:type="dxa"/>
            <w:shd w:val="clear" w:color="auto" w:fill="D6E3BC" w:themeFill="accent3" w:themeFillTint="66"/>
          </w:tcPr>
          <w:p w:rsidR="00417A88" w:rsidRPr="008A08A5" w:rsidRDefault="00417A88" w:rsidP="00CA42E3">
            <w:pPr>
              <w:rPr>
                <w:rFonts w:ascii="Arial" w:hAnsi="Arial" w:cs="Arial"/>
                <w:color w:val="000000"/>
                <w:sz w:val="18"/>
                <w:szCs w:val="20"/>
              </w:rPr>
            </w:pPr>
            <w:r w:rsidRPr="008A08A5">
              <w:rPr>
                <w:rFonts w:ascii="Arial" w:hAnsi="Arial" w:cs="Arial"/>
                <w:color w:val="000000"/>
                <w:sz w:val="18"/>
                <w:szCs w:val="20"/>
              </w:rPr>
              <w:t>Private market rental housing</w:t>
            </w:r>
          </w:p>
        </w:tc>
        <w:tc>
          <w:tcPr>
            <w:tcW w:w="1134" w:type="dxa"/>
            <w:shd w:val="clear" w:color="auto" w:fill="D6E3BC" w:themeFill="accent3" w:themeFillTint="66"/>
          </w:tcPr>
          <w:p w:rsidR="00417A88" w:rsidRPr="008A08A5" w:rsidRDefault="00417A88" w:rsidP="00CA42E3">
            <w:pPr>
              <w:rPr>
                <w:rFonts w:ascii="Arial" w:hAnsi="Arial" w:cs="Arial"/>
                <w:color w:val="000000"/>
                <w:sz w:val="18"/>
                <w:szCs w:val="20"/>
              </w:rPr>
            </w:pPr>
            <w:r w:rsidRPr="008A08A5">
              <w:rPr>
                <w:rFonts w:ascii="Arial" w:hAnsi="Arial" w:cs="Arial"/>
                <w:color w:val="000000"/>
                <w:sz w:val="18"/>
                <w:szCs w:val="20"/>
              </w:rPr>
              <w:t>Home ownership</w:t>
            </w:r>
          </w:p>
        </w:tc>
      </w:tr>
      <w:tr w:rsidR="00417A88" w:rsidTr="00CA42E3">
        <w:trPr>
          <w:jc w:val="center"/>
        </w:trPr>
        <w:tc>
          <w:tcPr>
            <w:tcW w:w="3825" w:type="dxa"/>
            <w:gridSpan w:val="3"/>
            <w:vAlign w:val="center"/>
          </w:tcPr>
          <w:p w:rsidR="00417A88" w:rsidRPr="008A08A5" w:rsidRDefault="00FA5C01" w:rsidP="00CA42E3">
            <w:pPr>
              <w:jc w:val="center"/>
              <w:rPr>
                <w:rFonts w:ascii="Arial" w:hAnsi="Arial" w:cs="Arial"/>
                <w:b/>
                <w:bCs/>
                <w:color w:val="000000"/>
                <w:sz w:val="22"/>
              </w:rPr>
            </w:pPr>
            <w:r>
              <w:rPr>
                <w:rFonts w:ascii="Arial" w:hAnsi="Arial" w:cs="Arial"/>
                <w:b/>
                <w:bCs/>
                <w:color w:val="000000"/>
                <w:sz w:val="22"/>
              </w:rPr>
              <w:t>Government subsidis</w:t>
            </w:r>
            <w:r w:rsidR="00417A88" w:rsidRPr="008A08A5">
              <w:rPr>
                <w:rFonts w:ascii="Arial" w:hAnsi="Arial" w:cs="Arial"/>
                <w:b/>
                <w:bCs/>
                <w:color w:val="000000"/>
                <w:sz w:val="22"/>
              </w:rPr>
              <w:t>ed housing (including housing provided by the government and community housing sector)</w:t>
            </w:r>
          </w:p>
        </w:tc>
        <w:tc>
          <w:tcPr>
            <w:tcW w:w="2422" w:type="dxa"/>
            <w:gridSpan w:val="2"/>
            <w:shd w:val="clear" w:color="auto" w:fill="EAF1DD" w:themeFill="accent3" w:themeFillTint="33"/>
            <w:vAlign w:val="center"/>
          </w:tcPr>
          <w:p w:rsidR="00417A88" w:rsidRPr="008A08A5" w:rsidRDefault="00417A88" w:rsidP="00CA42E3">
            <w:pPr>
              <w:jc w:val="center"/>
              <w:rPr>
                <w:rFonts w:ascii="Arial" w:hAnsi="Arial" w:cs="Arial"/>
                <w:b/>
                <w:bCs/>
                <w:color w:val="000000"/>
                <w:sz w:val="22"/>
              </w:rPr>
            </w:pPr>
            <w:r w:rsidRPr="008A08A5">
              <w:rPr>
                <w:rFonts w:ascii="Arial" w:hAnsi="Arial" w:cs="Arial"/>
                <w:b/>
                <w:bCs/>
                <w:color w:val="000000"/>
                <w:sz w:val="22"/>
              </w:rPr>
              <w:t>Non-market housing (community housing sector)</w:t>
            </w:r>
          </w:p>
        </w:tc>
        <w:tc>
          <w:tcPr>
            <w:tcW w:w="3677" w:type="dxa"/>
            <w:gridSpan w:val="3"/>
            <w:shd w:val="clear" w:color="auto" w:fill="D6E3BC" w:themeFill="accent3" w:themeFillTint="66"/>
            <w:vAlign w:val="center"/>
          </w:tcPr>
          <w:p w:rsidR="00417A88" w:rsidRPr="008A08A5" w:rsidRDefault="00417A88" w:rsidP="00CA42E3">
            <w:pPr>
              <w:jc w:val="center"/>
              <w:rPr>
                <w:rFonts w:ascii="Arial" w:hAnsi="Arial" w:cs="Arial"/>
                <w:color w:val="000000"/>
                <w:sz w:val="22"/>
              </w:rPr>
            </w:pPr>
            <w:r w:rsidRPr="008A08A5">
              <w:rPr>
                <w:rFonts w:ascii="Arial" w:hAnsi="Arial" w:cs="Arial"/>
                <w:b/>
                <w:bCs/>
                <w:color w:val="000000"/>
                <w:sz w:val="22"/>
              </w:rPr>
              <w:t>Private market housing</w:t>
            </w:r>
          </w:p>
        </w:tc>
      </w:tr>
      <w:tr w:rsidR="00417A88" w:rsidTr="00CA42E3">
        <w:trPr>
          <w:trHeight w:val="479"/>
          <w:jc w:val="center"/>
        </w:trPr>
        <w:tc>
          <w:tcPr>
            <w:tcW w:w="3825" w:type="dxa"/>
            <w:gridSpan w:val="3"/>
            <w:shd w:val="clear" w:color="auto" w:fill="FDE9D9" w:themeFill="accent6" w:themeFillTint="33"/>
            <w:vAlign w:val="center"/>
          </w:tcPr>
          <w:p w:rsidR="00417A88" w:rsidRPr="008A08A5" w:rsidRDefault="00417A88" w:rsidP="00CA42E3">
            <w:pPr>
              <w:jc w:val="center"/>
              <w:rPr>
                <w:rFonts w:ascii="Arial" w:hAnsi="Arial" w:cs="Arial"/>
                <w:b/>
                <w:bCs/>
                <w:color w:val="000000"/>
                <w:sz w:val="22"/>
              </w:rPr>
            </w:pPr>
            <w:r w:rsidRPr="008A08A5">
              <w:rPr>
                <w:rFonts w:ascii="Arial" w:hAnsi="Arial" w:cs="Arial"/>
                <w:b/>
                <w:bCs/>
                <w:color w:val="000000"/>
                <w:sz w:val="22"/>
              </w:rPr>
              <w:t>Very Low income</w:t>
            </w:r>
          </w:p>
        </w:tc>
        <w:tc>
          <w:tcPr>
            <w:tcW w:w="2422" w:type="dxa"/>
            <w:gridSpan w:val="2"/>
            <w:shd w:val="clear" w:color="auto" w:fill="FBD4B4" w:themeFill="accent6" w:themeFillTint="66"/>
            <w:vAlign w:val="center"/>
          </w:tcPr>
          <w:p w:rsidR="00417A88" w:rsidRPr="008A08A5" w:rsidRDefault="00417A88" w:rsidP="00CA42E3">
            <w:pPr>
              <w:jc w:val="center"/>
              <w:rPr>
                <w:rFonts w:ascii="Arial" w:hAnsi="Arial" w:cs="Arial"/>
                <w:b/>
                <w:bCs/>
                <w:color w:val="000000"/>
                <w:sz w:val="22"/>
              </w:rPr>
            </w:pPr>
            <w:r w:rsidRPr="008A08A5">
              <w:rPr>
                <w:rFonts w:ascii="Arial" w:hAnsi="Arial" w:cs="Arial"/>
                <w:b/>
                <w:bCs/>
                <w:color w:val="000000"/>
                <w:sz w:val="22"/>
              </w:rPr>
              <w:t>Low-moderate income</w:t>
            </w:r>
          </w:p>
        </w:tc>
        <w:tc>
          <w:tcPr>
            <w:tcW w:w="3677" w:type="dxa"/>
            <w:gridSpan w:val="3"/>
            <w:shd w:val="clear" w:color="auto" w:fill="FABF8F" w:themeFill="accent6" w:themeFillTint="99"/>
            <w:vAlign w:val="center"/>
          </w:tcPr>
          <w:p w:rsidR="00417A88" w:rsidRPr="008A08A5" w:rsidRDefault="00417A88" w:rsidP="00CA42E3">
            <w:pPr>
              <w:jc w:val="center"/>
              <w:rPr>
                <w:rFonts w:ascii="Arial" w:hAnsi="Arial" w:cs="Arial"/>
                <w:b/>
                <w:bCs/>
                <w:color w:val="000000"/>
                <w:sz w:val="22"/>
              </w:rPr>
            </w:pPr>
            <w:r w:rsidRPr="008A08A5">
              <w:rPr>
                <w:rFonts w:ascii="Arial" w:hAnsi="Arial" w:cs="Arial"/>
                <w:b/>
                <w:bCs/>
                <w:color w:val="000000"/>
                <w:sz w:val="22"/>
              </w:rPr>
              <w:t>Moderate-high income</w:t>
            </w:r>
          </w:p>
        </w:tc>
      </w:tr>
    </w:tbl>
    <w:p w:rsidR="00F53917" w:rsidRDefault="00F53917" w:rsidP="006E499F">
      <w:pPr>
        <w:contextualSpacing/>
        <w:rPr>
          <w:rFonts w:ascii="Arial" w:hAnsi="Arial" w:cs="Arial"/>
          <w:sz w:val="22"/>
          <w:szCs w:val="22"/>
        </w:rPr>
      </w:pPr>
    </w:p>
    <w:p w:rsidR="00AF7A2B" w:rsidRDefault="00417A88" w:rsidP="00125881">
      <w:pPr>
        <w:contextualSpacing/>
        <w:jc w:val="both"/>
        <w:rPr>
          <w:rFonts w:ascii="Arial" w:hAnsi="Arial" w:cs="Arial"/>
          <w:sz w:val="22"/>
          <w:szCs w:val="22"/>
        </w:rPr>
      </w:pPr>
      <w:r>
        <w:rPr>
          <w:rFonts w:ascii="Arial" w:hAnsi="Arial" w:cs="Arial"/>
          <w:sz w:val="22"/>
          <w:szCs w:val="22"/>
        </w:rPr>
        <w:t>The focus of this Policy is on provision of affordable rental housing for t</w:t>
      </w:r>
      <w:r w:rsidR="00F2470E">
        <w:rPr>
          <w:rFonts w:ascii="Arial" w:hAnsi="Arial" w:cs="Arial"/>
          <w:sz w:val="22"/>
          <w:szCs w:val="22"/>
        </w:rPr>
        <w:t>hose households who earn low to moderate incomes</w:t>
      </w:r>
      <w:r>
        <w:rPr>
          <w:rFonts w:ascii="Arial" w:hAnsi="Arial" w:cs="Arial"/>
          <w:sz w:val="22"/>
          <w:szCs w:val="22"/>
        </w:rPr>
        <w:t>.</w:t>
      </w:r>
      <w:r w:rsidR="00F2470E">
        <w:rPr>
          <w:rFonts w:ascii="Arial" w:hAnsi="Arial" w:cs="Arial"/>
          <w:sz w:val="22"/>
          <w:szCs w:val="22"/>
        </w:rPr>
        <w:t xml:space="preserve"> Low income households earn 51-80% of the median Sydney income rate; moderate income households earn 81-120% of the median Sydney income rate. </w:t>
      </w:r>
      <w:r>
        <w:rPr>
          <w:rFonts w:ascii="Arial" w:hAnsi="Arial" w:cs="Arial"/>
          <w:sz w:val="22"/>
          <w:szCs w:val="22"/>
        </w:rPr>
        <w:t xml:space="preserve"> </w:t>
      </w:r>
    </w:p>
    <w:p w:rsidR="00AF7A2B" w:rsidRDefault="00AF7A2B" w:rsidP="00125881">
      <w:pPr>
        <w:contextualSpacing/>
        <w:jc w:val="both"/>
        <w:rPr>
          <w:rFonts w:ascii="Arial" w:hAnsi="Arial" w:cs="Arial"/>
          <w:sz w:val="22"/>
          <w:szCs w:val="22"/>
        </w:rPr>
      </w:pPr>
    </w:p>
    <w:p w:rsidR="00417A88" w:rsidRDefault="00417A88" w:rsidP="00125881">
      <w:pPr>
        <w:contextualSpacing/>
        <w:jc w:val="both"/>
        <w:rPr>
          <w:rFonts w:ascii="Arial" w:hAnsi="Arial" w:cs="Arial"/>
          <w:sz w:val="22"/>
          <w:szCs w:val="22"/>
        </w:rPr>
      </w:pPr>
      <w:r>
        <w:rPr>
          <w:rFonts w:ascii="Arial" w:hAnsi="Arial" w:cs="Arial"/>
          <w:sz w:val="22"/>
          <w:szCs w:val="22"/>
        </w:rPr>
        <w:t>Advocacy will also be undertaken to ensure that the NSW Government continues to provide housing options that meet the needs of those on very low incomes</w:t>
      </w:r>
      <w:r w:rsidR="00F65BD4">
        <w:rPr>
          <w:rFonts w:ascii="Arial" w:hAnsi="Arial" w:cs="Arial"/>
          <w:sz w:val="22"/>
          <w:szCs w:val="22"/>
        </w:rPr>
        <w:t xml:space="preserve"> by setting a target for social housing provision</w:t>
      </w:r>
      <w:r w:rsidR="00E667AA">
        <w:rPr>
          <w:rFonts w:ascii="Arial" w:hAnsi="Arial" w:cs="Arial"/>
          <w:sz w:val="22"/>
          <w:szCs w:val="22"/>
        </w:rPr>
        <w:t xml:space="preserve"> in </w:t>
      </w:r>
      <w:r w:rsidR="00AF7A2B">
        <w:rPr>
          <w:rFonts w:ascii="Arial" w:hAnsi="Arial" w:cs="Arial"/>
          <w:sz w:val="22"/>
          <w:szCs w:val="22"/>
        </w:rPr>
        <w:t>Parramatta</w:t>
      </w:r>
      <w:r w:rsidR="00F65BD4">
        <w:rPr>
          <w:rFonts w:ascii="Arial" w:hAnsi="Arial" w:cs="Arial"/>
          <w:sz w:val="22"/>
          <w:szCs w:val="22"/>
        </w:rPr>
        <w:t>.</w:t>
      </w:r>
    </w:p>
    <w:p w:rsidR="00417A88" w:rsidRDefault="00417A88" w:rsidP="00125881">
      <w:pPr>
        <w:jc w:val="both"/>
        <w:rPr>
          <w:rFonts w:ascii="Arial" w:hAnsi="Arial" w:cs="Arial"/>
          <w:sz w:val="22"/>
          <w:szCs w:val="22"/>
          <w:lang w:eastAsia="en-AU"/>
        </w:rPr>
      </w:pPr>
    </w:p>
    <w:p w:rsidR="00976D48" w:rsidRDefault="00976D48" w:rsidP="00125881">
      <w:pPr>
        <w:jc w:val="both"/>
        <w:rPr>
          <w:rFonts w:ascii="Arial" w:hAnsi="Arial" w:cs="Arial"/>
          <w:sz w:val="22"/>
          <w:szCs w:val="22"/>
          <w:lang w:eastAsia="en-AU"/>
        </w:rPr>
      </w:pPr>
    </w:p>
    <w:p w:rsidR="00C9724C" w:rsidRDefault="00C9724C" w:rsidP="006E499F">
      <w:pPr>
        <w:rPr>
          <w:rFonts w:ascii="Arial" w:hAnsi="Arial" w:cs="Arial"/>
          <w:sz w:val="22"/>
          <w:szCs w:val="22"/>
          <w:lang w:eastAsia="en-AU"/>
        </w:rPr>
      </w:pPr>
    </w:p>
    <w:p w:rsidR="00417A88" w:rsidRPr="008E10E6" w:rsidRDefault="004A7E11" w:rsidP="00125881">
      <w:pPr>
        <w:jc w:val="both"/>
        <w:rPr>
          <w:rFonts w:ascii="Arial" w:hAnsi="Arial" w:cs="Arial"/>
          <w:b/>
          <w:szCs w:val="22"/>
          <w:lang w:eastAsia="en-AU"/>
        </w:rPr>
      </w:pPr>
      <w:r w:rsidRPr="008E10E6">
        <w:rPr>
          <w:rFonts w:ascii="Arial" w:hAnsi="Arial" w:cs="Arial"/>
          <w:b/>
          <w:szCs w:val="22"/>
          <w:lang w:eastAsia="en-AU"/>
        </w:rPr>
        <w:lastRenderedPageBreak/>
        <w:t>2.2 What types of affordable h</w:t>
      </w:r>
      <w:r w:rsidR="00417A88" w:rsidRPr="008E10E6">
        <w:rPr>
          <w:rFonts w:ascii="Arial" w:hAnsi="Arial" w:cs="Arial"/>
          <w:b/>
          <w:szCs w:val="22"/>
          <w:lang w:eastAsia="en-AU"/>
        </w:rPr>
        <w:t>ousing does this Policy apply to?</w:t>
      </w:r>
    </w:p>
    <w:p w:rsidR="007B3DA2" w:rsidRDefault="009E7169" w:rsidP="00125881">
      <w:pPr>
        <w:jc w:val="both"/>
        <w:rPr>
          <w:rFonts w:ascii="Arial" w:hAnsi="Arial" w:cs="Arial"/>
          <w:sz w:val="22"/>
          <w:szCs w:val="22"/>
          <w:lang w:eastAsia="en-AU"/>
        </w:rPr>
      </w:pPr>
      <w:r>
        <w:rPr>
          <w:rFonts w:ascii="Arial" w:hAnsi="Arial" w:cs="Arial"/>
          <w:sz w:val="22"/>
          <w:szCs w:val="22"/>
          <w:lang w:eastAsia="en-AU"/>
        </w:rPr>
        <w:t>This</w:t>
      </w:r>
      <w:r w:rsidR="007B3DA2">
        <w:rPr>
          <w:rFonts w:ascii="Arial" w:hAnsi="Arial" w:cs="Arial"/>
          <w:sz w:val="22"/>
          <w:szCs w:val="22"/>
          <w:lang w:eastAsia="en-AU"/>
        </w:rPr>
        <w:t xml:space="preserve"> Policy relates to key types of affordable housing that can be provided to ensure that housing stress is reduced across the LGA. </w:t>
      </w:r>
      <w:r>
        <w:rPr>
          <w:rFonts w:ascii="Arial" w:hAnsi="Arial" w:cs="Arial"/>
          <w:sz w:val="22"/>
          <w:szCs w:val="22"/>
          <w:lang w:eastAsia="en-AU"/>
        </w:rPr>
        <w:t xml:space="preserve">Not all types of affordable housing that are delivered under the Affordable Rental Housing State Environmental Planning Policy (ARH SEPP 2009) are included in this Policy. The </w:t>
      </w:r>
      <w:r w:rsidR="007B3DA2">
        <w:rPr>
          <w:rFonts w:ascii="Arial" w:hAnsi="Arial" w:cs="Arial"/>
          <w:sz w:val="22"/>
          <w:szCs w:val="22"/>
          <w:lang w:eastAsia="en-AU"/>
        </w:rPr>
        <w:t xml:space="preserve">following table states which types of housing are included in this Policy and which forms are </w:t>
      </w:r>
      <w:r>
        <w:rPr>
          <w:rFonts w:ascii="Arial" w:hAnsi="Arial" w:cs="Arial"/>
          <w:sz w:val="22"/>
          <w:szCs w:val="22"/>
          <w:lang w:eastAsia="en-AU"/>
        </w:rPr>
        <w:t>not included:</w:t>
      </w:r>
    </w:p>
    <w:p w:rsidR="007B3DA2" w:rsidRDefault="007B3DA2" w:rsidP="006E499F">
      <w:pPr>
        <w:rPr>
          <w:rFonts w:ascii="Arial" w:hAnsi="Arial" w:cs="Arial"/>
          <w:sz w:val="22"/>
          <w:szCs w:val="22"/>
          <w:lang w:eastAsia="en-AU"/>
        </w:rPr>
      </w:pPr>
    </w:p>
    <w:tbl>
      <w:tblPr>
        <w:tblStyle w:val="TableGrid"/>
        <w:tblW w:w="0" w:type="auto"/>
        <w:tblInd w:w="675" w:type="dxa"/>
        <w:tblLook w:val="04A0" w:firstRow="1" w:lastRow="0" w:firstColumn="1" w:lastColumn="0" w:noHBand="0" w:noVBand="1"/>
      </w:tblPr>
      <w:tblGrid>
        <w:gridCol w:w="4135"/>
        <w:gridCol w:w="4087"/>
      </w:tblGrid>
      <w:tr w:rsidR="00C241CD" w:rsidTr="007A5A8D">
        <w:trPr>
          <w:trHeight w:val="423"/>
        </w:trPr>
        <w:tc>
          <w:tcPr>
            <w:tcW w:w="8222" w:type="dxa"/>
            <w:gridSpan w:val="2"/>
            <w:shd w:val="clear" w:color="auto" w:fill="000000" w:themeFill="text1"/>
          </w:tcPr>
          <w:p w:rsidR="00C241CD" w:rsidRPr="00C241CD" w:rsidRDefault="00C241CD" w:rsidP="00C241CD">
            <w:pPr>
              <w:rPr>
                <w:rFonts w:ascii="Arial" w:hAnsi="Arial" w:cs="Arial"/>
                <w:b/>
                <w:sz w:val="22"/>
                <w:szCs w:val="22"/>
                <w:lang w:eastAsia="en-AU"/>
              </w:rPr>
            </w:pPr>
            <w:r w:rsidRPr="00C241CD">
              <w:rPr>
                <w:rFonts w:ascii="Arial" w:hAnsi="Arial" w:cs="Arial"/>
                <w:b/>
                <w:sz w:val="22"/>
                <w:szCs w:val="22"/>
                <w:lang w:eastAsia="en-AU"/>
              </w:rPr>
              <w:t xml:space="preserve">Table 3. Affordable Housing Types </w:t>
            </w:r>
          </w:p>
        </w:tc>
      </w:tr>
      <w:tr w:rsidR="00C241CD" w:rsidTr="00C241CD">
        <w:tc>
          <w:tcPr>
            <w:tcW w:w="4135" w:type="dxa"/>
            <w:shd w:val="clear" w:color="auto" w:fill="DBE5F1" w:themeFill="accent1" w:themeFillTint="33"/>
          </w:tcPr>
          <w:p w:rsidR="00C241CD" w:rsidRDefault="00C241CD" w:rsidP="00C241CD">
            <w:pPr>
              <w:jc w:val="center"/>
              <w:rPr>
                <w:rFonts w:ascii="Arial" w:hAnsi="Arial" w:cs="Arial"/>
                <w:sz w:val="22"/>
                <w:szCs w:val="22"/>
                <w:lang w:eastAsia="en-AU"/>
              </w:rPr>
            </w:pPr>
            <w:r>
              <w:rPr>
                <w:rFonts w:ascii="Arial" w:hAnsi="Arial" w:cs="Arial"/>
                <w:sz w:val="22"/>
                <w:szCs w:val="22"/>
                <w:lang w:eastAsia="en-AU"/>
              </w:rPr>
              <w:t xml:space="preserve">Affordable housing types </w:t>
            </w:r>
            <w:r w:rsidRPr="009D3800">
              <w:rPr>
                <w:rFonts w:ascii="Arial" w:hAnsi="Arial" w:cs="Arial"/>
                <w:b/>
                <w:sz w:val="22"/>
                <w:szCs w:val="22"/>
                <w:lang w:eastAsia="en-AU"/>
              </w:rPr>
              <w:t>included</w:t>
            </w:r>
            <w:r>
              <w:rPr>
                <w:rFonts w:ascii="Arial" w:hAnsi="Arial" w:cs="Arial"/>
                <w:sz w:val="22"/>
                <w:szCs w:val="22"/>
                <w:lang w:eastAsia="en-AU"/>
              </w:rPr>
              <w:t xml:space="preserve"> in Policy Targets</w:t>
            </w:r>
          </w:p>
        </w:tc>
        <w:tc>
          <w:tcPr>
            <w:tcW w:w="4087" w:type="dxa"/>
            <w:shd w:val="clear" w:color="auto" w:fill="DBE5F1" w:themeFill="accent1" w:themeFillTint="33"/>
          </w:tcPr>
          <w:p w:rsidR="00C241CD" w:rsidRDefault="00C241CD" w:rsidP="00C241CD">
            <w:pPr>
              <w:jc w:val="center"/>
              <w:rPr>
                <w:rFonts w:ascii="Arial" w:hAnsi="Arial" w:cs="Arial"/>
                <w:sz w:val="22"/>
                <w:szCs w:val="22"/>
                <w:lang w:eastAsia="en-AU"/>
              </w:rPr>
            </w:pPr>
            <w:r>
              <w:rPr>
                <w:rFonts w:ascii="Arial" w:hAnsi="Arial" w:cs="Arial"/>
                <w:sz w:val="22"/>
                <w:szCs w:val="22"/>
                <w:lang w:eastAsia="en-AU"/>
              </w:rPr>
              <w:t xml:space="preserve">Affordable housing types </w:t>
            </w:r>
            <w:r w:rsidRPr="009D3800">
              <w:rPr>
                <w:rFonts w:ascii="Arial" w:hAnsi="Arial" w:cs="Arial"/>
                <w:b/>
                <w:sz w:val="22"/>
                <w:szCs w:val="22"/>
                <w:lang w:eastAsia="en-AU"/>
              </w:rPr>
              <w:t>not included</w:t>
            </w:r>
            <w:r>
              <w:rPr>
                <w:rFonts w:ascii="Arial" w:hAnsi="Arial" w:cs="Arial"/>
                <w:sz w:val="22"/>
                <w:szCs w:val="22"/>
                <w:lang w:eastAsia="en-AU"/>
              </w:rPr>
              <w:t xml:space="preserve"> in Policy Targets</w:t>
            </w:r>
          </w:p>
        </w:tc>
      </w:tr>
      <w:tr w:rsidR="007B3DA2" w:rsidTr="00087FA5">
        <w:tc>
          <w:tcPr>
            <w:tcW w:w="4135" w:type="dxa"/>
            <w:shd w:val="clear" w:color="auto" w:fill="F2F2F2" w:themeFill="background1" w:themeFillShade="F2"/>
          </w:tcPr>
          <w:p w:rsidR="007B3DA2" w:rsidRPr="007B3DA2" w:rsidRDefault="007B3DA2" w:rsidP="007B3DA2">
            <w:pPr>
              <w:pStyle w:val="ListParagraph"/>
              <w:numPr>
                <w:ilvl w:val="0"/>
                <w:numId w:val="11"/>
              </w:numPr>
              <w:ind w:left="317" w:hanging="284"/>
              <w:rPr>
                <w:rFonts w:ascii="Arial" w:hAnsi="Arial" w:cs="Arial"/>
                <w:sz w:val="22"/>
                <w:szCs w:val="22"/>
                <w:lang w:eastAsia="en-AU"/>
              </w:rPr>
            </w:pPr>
            <w:r>
              <w:rPr>
                <w:rFonts w:ascii="Arial" w:hAnsi="Arial" w:cs="Arial"/>
                <w:sz w:val="22"/>
                <w:szCs w:val="22"/>
                <w:lang w:eastAsia="en-AU"/>
              </w:rPr>
              <w:t xml:space="preserve">Affordable </w:t>
            </w:r>
            <w:r w:rsidRPr="007B3DA2">
              <w:rPr>
                <w:rFonts w:ascii="Arial" w:hAnsi="Arial" w:cs="Arial"/>
                <w:sz w:val="22"/>
                <w:szCs w:val="22"/>
                <w:lang w:eastAsia="en-AU"/>
              </w:rPr>
              <w:t>Housing managed by non-profit providers</w:t>
            </w:r>
          </w:p>
        </w:tc>
        <w:tc>
          <w:tcPr>
            <w:tcW w:w="4087" w:type="dxa"/>
            <w:shd w:val="clear" w:color="auto" w:fill="F2F2F2" w:themeFill="background1" w:themeFillShade="F2"/>
          </w:tcPr>
          <w:p w:rsidR="007B3DA2" w:rsidRPr="007B3DA2" w:rsidRDefault="007B3DA2" w:rsidP="007B3DA2">
            <w:pPr>
              <w:pStyle w:val="ListParagraph"/>
              <w:numPr>
                <w:ilvl w:val="0"/>
                <w:numId w:val="11"/>
              </w:numPr>
              <w:ind w:left="295" w:hanging="283"/>
              <w:rPr>
                <w:rFonts w:ascii="Arial" w:hAnsi="Arial" w:cs="Arial"/>
                <w:sz w:val="22"/>
                <w:szCs w:val="22"/>
                <w:lang w:eastAsia="en-AU"/>
              </w:rPr>
            </w:pPr>
            <w:r>
              <w:rPr>
                <w:rFonts w:ascii="Arial" w:hAnsi="Arial" w:cs="Arial"/>
                <w:sz w:val="22"/>
                <w:szCs w:val="22"/>
                <w:lang w:eastAsia="en-AU"/>
              </w:rPr>
              <w:t>Boarding houses</w:t>
            </w:r>
          </w:p>
        </w:tc>
      </w:tr>
      <w:tr w:rsidR="007B3DA2" w:rsidTr="00087FA5">
        <w:tc>
          <w:tcPr>
            <w:tcW w:w="4135" w:type="dxa"/>
            <w:shd w:val="clear" w:color="auto" w:fill="F2F2F2" w:themeFill="background1" w:themeFillShade="F2"/>
          </w:tcPr>
          <w:p w:rsidR="007B3DA2" w:rsidRPr="007B3DA2" w:rsidRDefault="007B3DA2" w:rsidP="007B3DA2">
            <w:pPr>
              <w:pStyle w:val="ListParagraph"/>
              <w:numPr>
                <w:ilvl w:val="0"/>
                <w:numId w:val="11"/>
              </w:numPr>
              <w:ind w:left="317" w:hanging="284"/>
              <w:rPr>
                <w:rFonts w:ascii="Arial" w:hAnsi="Arial" w:cs="Arial"/>
                <w:sz w:val="22"/>
                <w:szCs w:val="22"/>
                <w:lang w:eastAsia="en-AU"/>
              </w:rPr>
            </w:pPr>
            <w:r>
              <w:rPr>
                <w:rFonts w:ascii="Arial" w:hAnsi="Arial" w:cs="Arial"/>
                <w:sz w:val="22"/>
                <w:szCs w:val="22"/>
                <w:lang w:eastAsia="en-AU"/>
              </w:rPr>
              <w:t>Affordable Housing delivered under ARH SEPP 2009</w:t>
            </w:r>
          </w:p>
        </w:tc>
        <w:tc>
          <w:tcPr>
            <w:tcW w:w="4087" w:type="dxa"/>
            <w:shd w:val="clear" w:color="auto" w:fill="F2F2F2" w:themeFill="background1" w:themeFillShade="F2"/>
          </w:tcPr>
          <w:p w:rsidR="007B3DA2" w:rsidRPr="007B3DA2" w:rsidRDefault="007B3DA2" w:rsidP="007B3DA2">
            <w:pPr>
              <w:pStyle w:val="ListParagraph"/>
              <w:numPr>
                <w:ilvl w:val="0"/>
                <w:numId w:val="11"/>
              </w:numPr>
              <w:ind w:left="295" w:hanging="283"/>
              <w:rPr>
                <w:rFonts w:ascii="Arial" w:hAnsi="Arial" w:cs="Arial"/>
                <w:sz w:val="22"/>
                <w:szCs w:val="22"/>
                <w:lang w:eastAsia="en-AU"/>
              </w:rPr>
            </w:pPr>
            <w:r>
              <w:rPr>
                <w:rFonts w:ascii="Arial" w:hAnsi="Arial" w:cs="Arial"/>
                <w:sz w:val="22"/>
                <w:szCs w:val="22"/>
                <w:lang w:eastAsia="en-AU"/>
              </w:rPr>
              <w:t>Studio apartments</w:t>
            </w:r>
          </w:p>
        </w:tc>
      </w:tr>
      <w:tr w:rsidR="007B3DA2" w:rsidTr="00087FA5">
        <w:tc>
          <w:tcPr>
            <w:tcW w:w="4135" w:type="dxa"/>
            <w:shd w:val="clear" w:color="auto" w:fill="F2F2F2" w:themeFill="background1" w:themeFillShade="F2"/>
          </w:tcPr>
          <w:p w:rsidR="007B3DA2" w:rsidRPr="007B3DA2" w:rsidRDefault="007B3DA2" w:rsidP="007B3DA2">
            <w:pPr>
              <w:pStyle w:val="ListParagraph"/>
              <w:numPr>
                <w:ilvl w:val="0"/>
                <w:numId w:val="11"/>
              </w:numPr>
              <w:ind w:left="317" w:hanging="284"/>
              <w:rPr>
                <w:rFonts w:ascii="Arial" w:hAnsi="Arial" w:cs="Arial"/>
                <w:sz w:val="22"/>
                <w:szCs w:val="22"/>
                <w:lang w:eastAsia="en-AU"/>
              </w:rPr>
            </w:pPr>
            <w:r>
              <w:rPr>
                <w:rFonts w:ascii="Arial" w:hAnsi="Arial" w:cs="Arial"/>
                <w:sz w:val="22"/>
                <w:szCs w:val="22"/>
                <w:lang w:eastAsia="en-AU"/>
              </w:rPr>
              <w:t>Affordable Housing delivered under the State and Federal Government affordable housing funding schemes</w:t>
            </w:r>
          </w:p>
        </w:tc>
        <w:tc>
          <w:tcPr>
            <w:tcW w:w="4087" w:type="dxa"/>
            <w:shd w:val="clear" w:color="auto" w:fill="F2F2F2" w:themeFill="background1" w:themeFillShade="F2"/>
          </w:tcPr>
          <w:p w:rsidR="007B3DA2" w:rsidRPr="007B3DA2" w:rsidRDefault="007B3DA2" w:rsidP="007B3DA2">
            <w:pPr>
              <w:pStyle w:val="ListParagraph"/>
              <w:numPr>
                <w:ilvl w:val="0"/>
                <w:numId w:val="11"/>
              </w:numPr>
              <w:ind w:left="295" w:hanging="283"/>
              <w:rPr>
                <w:rFonts w:ascii="Arial" w:hAnsi="Arial" w:cs="Arial"/>
                <w:sz w:val="22"/>
                <w:szCs w:val="22"/>
                <w:lang w:eastAsia="en-AU"/>
              </w:rPr>
            </w:pPr>
            <w:r>
              <w:rPr>
                <w:rFonts w:ascii="Arial" w:hAnsi="Arial" w:cs="Arial"/>
                <w:sz w:val="22"/>
                <w:szCs w:val="22"/>
                <w:lang w:eastAsia="en-AU"/>
              </w:rPr>
              <w:t>Secondary dwellings (e.g. granny flats)</w:t>
            </w:r>
          </w:p>
        </w:tc>
      </w:tr>
    </w:tbl>
    <w:p w:rsidR="007B3DA2" w:rsidRDefault="007B3DA2" w:rsidP="006E499F">
      <w:pPr>
        <w:rPr>
          <w:rFonts w:ascii="Arial" w:hAnsi="Arial" w:cs="Arial"/>
          <w:sz w:val="22"/>
          <w:szCs w:val="22"/>
          <w:lang w:eastAsia="en-AU"/>
        </w:rPr>
      </w:pPr>
    </w:p>
    <w:p w:rsidR="007B3DA2" w:rsidRDefault="00087FA5" w:rsidP="00125881">
      <w:pPr>
        <w:jc w:val="both"/>
        <w:rPr>
          <w:rFonts w:ascii="Arial" w:hAnsi="Arial" w:cs="Arial"/>
          <w:sz w:val="22"/>
          <w:szCs w:val="22"/>
          <w:lang w:eastAsia="en-AU"/>
        </w:rPr>
      </w:pPr>
      <w:r>
        <w:rPr>
          <w:rFonts w:ascii="Arial" w:hAnsi="Arial" w:cs="Arial"/>
          <w:sz w:val="22"/>
          <w:szCs w:val="22"/>
          <w:lang w:eastAsia="en-AU"/>
        </w:rPr>
        <w:t>The rental price charged for boarding house rooms, studio apartments</w:t>
      </w:r>
      <w:r w:rsidR="0033753F">
        <w:rPr>
          <w:rFonts w:ascii="Arial" w:hAnsi="Arial" w:cs="Arial"/>
          <w:sz w:val="22"/>
          <w:szCs w:val="22"/>
          <w:lang w:eastAsia="en-AU"/>
        </w:rPr>
        <w:t xml:space="preserve"> and secondary dwellings is</w:t>
      </w:r>
      <w:r>
        <w:rPr>
          <w:rFonts w:ascii="Arial" w:hAnsi="Arial" w:cs="Arial"/>
          <w:sz w:val="22"/>
          <w:szCs w:val="22"/>
          <w:lang w:eastAsia="en-AU"/>
        </w:rPr>
        <w:t xml:space="preserve"> not mandated as affordable</w:t>
      </w:r>
      <w:r w:rsidR="009E7169">
        <w:rPr>
          <w:rFonts w:ascii="Arial" w:hAnsi="Arial" w:cs="Arial"/>
          <w:sz w:val="22"/>
          <w:szCs w:val="22"/>
          <w:lang w:eastAsia="en-AU"/>
        </w:rPr>
        <w:t xml:space="preserve"> via legislation</w:t>
      </w:r>
      <w:r>
        <w:rPr>
          <w:rFonts w:ascii="Arial" w:hAnsi="Arial" w:cs="Arial"/>
          <w:sz w:val="22"/>
          <w:szCs w:val="22"/>
          <w:lang w:eastAsia="en-AU"/>
        </w:rPr>
        <w:t>.</w:t>
      </w:r>
      <w:r w:rsidR="009E7169">
        <w:rPr>
          <w:rFonts w:ascii="Arial" w:hAnsi="Arial" w:cs="Arial"/>
          <w:sz w:val="22"/>
          <w:szCs w:val="22"/>
          <w:lang w:eastAsia="en-AU"/>
        </w:rPr>
        <w:t xml:space="preserve"> This means that, while the rental price set for these housing forms may be </w:t>
      </w:r>
      <w:r w:rsidR="00AF7A2B">
        <w:rPr>
          <w:rFonts w:ascii="Arial" w:hAnsi="Arial" w:cs="Arial"/>
          <w:sz w:val="22"/>
          <w:szCs w:val="22"/>
          <w:lang w:eastAsia="en-AU"/>
        </w:rPr>
        <w:t>less expensive than other market rental housing, there is no mechanism to</w:t>
      </w:r>
      <w:r w:rsidR="009E7169">
        <w:rPr>
          <w:rFonts w:ascii="Arial" w:hAnsi="Arial" w:cs="Arial"/>
          <w:sz w:val="22"/>
          <w:szCs w:val="22"/>
          <w:lang w:eastAsia="en-AU"/>
        </w:rPr>
        <w:t xml:space="preserve"> </w:t>
      </w:r>
      <w:r w:rsidR="00AF7A2B">
        <w:rPr>
          <w:rFonts w:ascii="Arial" w:hAnsi="Arial" w:cs="Arial"/>
          <w:sz w:val="22"/>
          <w:szCs w:val="22"/>
          <w:lang w:eastAsia="en-AU"/>
        </w:rPr>
        <w:t>guarantee this</w:t>
      </w:r>
      <w:r w:rsidR="009E7169">
        <w:rPr>
          <w:rFonts w:ascii="Arial" w:hAnsi="Arial" w:cs="Arial"/>
          <w:sz w:val="22"/>
          <w:szCs w:val="22"/>
          <w:lang w:eastAsia="en-AU"/>
        </w:rPr>
        <w:t>.</w:t>
      </w:r>
      <w:r>
        <w:rPr>
          <w:rFonts w:ascii="Arial" w:hAnsi="Arial" w:cs="Arial"/>
          <w:sz w:val="22"/>
          <w:szCs w:val="22"/>
          <w:lang w:eastAsia="en-AU"/>
        </w:rPr>
        <w:t xml:space="preserve"> Therefore, there is no guarantee that these housing forms will actually provide genuinely affordable housing. </w:t>
      </w:r>
    </w:p>
    <w:p w:rsidR="007B3DA2" w:rsidRDefault="007B3DA2" w:rsidP="00125881">
      <w:pPr>
        <w:jc w:val="both"/>
        <w:rPr>
          <w:rFonts w:ascii="Arial" w:hAnsi="Arial" w:cs="Arial"/>
          <w:sz w:val="22"/>
          <w:szCs w:val="22"/>
          <w:lang w:eastAsia="en-AU"/>
        </w:rPr>
      </w:pPr>
    </w:p>
    <w:p w:rsidR="00AB5FEC" w:rsidRPr="00D75456" w:rsidRDefault="00AB5FEC" w:rsidP="00125881">
      <w:pPr>
        <w:jc w:val="both"/>
        <w:rPr>
          <w:rFonts w:ascii="Arial" w:hAnsi="Arial" w:cs="Arial"/>
          <w:sz w:val="22"/>
          <w:szCs w:val="22"/>
          <w:lang w:eastAsia="en-AU"/>
        </w:rPr>
      </w:pPr>
      <w:r w:rsidRPr="00D75456">
        <w:rPr>
          <w:rFonts w:ascii="Arial" w:hAnsi="Arial" w:cs="Arial"/>
          <w:sz w:val="22"/>
          <w:szCs w:val="22"/>
          <w:lang w:eastAsia="en-AU"/>
        </w:rPr>
        <w:t>This Policy governs the</w:t>
      </w:r>
      <w:r w:rsidR="009E2D0E">
        <w:rPr>
          <w:rFonts w:ascii="Arial" w:hAnsi="Arial" w:cs="Arial"/>
          <w:sz w:val="22"/>
          <w:szCs w:val="22"/>
          <w:lang w:eastAsia="en-AU"/>
        </w:rPr>
        <w:t xml:space="preserve"> facilitation,</w:t>
      </w:r>
      <w:r w:rsidRPr="00D75456">
        <w:rPr>
          <w:rFonts w:ascii="Arial" w:hAnsi="Arial" w:cs="Arial"/>
          <w:sz w:val="22"/>
          <w:szCs w:val="22"/>
          <w:lang w:eastAsia="en-AU"/>
        </w:rPr>
        <w:t xml:space="preserve"> acquisition and provision of affordable ren</w:t>
      </w:r>
      <w:r w:rsidR="00237CA1" w:rsidRPr="00D75456">
        <w:rPr>
          <w:rFonts w:ascii="Arial" w:hAnsi="Arial" w:cs="Arial"/>
          <w:sz w:val="22"/>
          <w:szCs w:val="22"/>
          <w:lang w:eastAsia="en-AU"/>
        </w:rPr>
        <w:t xml:space="preserve">tal housing by </w:t>
      </w:r>
      <w:r w:rsidRPr="00D75456">
        <w:rPr>
          <w:rFonts w:ascii="Arial" w:hAnsi="Arial" w:cs="Arial"/>
          <w:sz w:val="22"/>
          <w:szCs w:val="22"/>
          <w:lang w:eastAsia="en-AU"/>
        </w:rPr>
        <w:t>City of Parramatta</w:t>
      </w:r>
      <w:r w:rsidR="009E2D0E">
        <w:rPr>
          <w:rFonts w:ascii="Arial" w:hAnsi="Arial" w:cs="Arial"/>
          <w:sz w:val="22"/>
          <w:szCs w:val="22"/>
          <w:lang w:eastAsia="en-AU"/>
        </w:rPr>
        <w:t xml:space="preserve"> Council</w:t>
      </w:r>
      <w:r w:rsidRPr="00D75456">
        <w:rPr>
          <w:rFonts w:ascii="Arial" w:hAnsi="Arial" w:cs="Arial"/>
          <w:sz w:val="22"/>
          <w:szCs w:val="22"/>
          <w:lang w:eastAsia="en-AU"/>
        </w:rPr>
        <w:t xml:space="preserve">. </w:t>
      </w:r>
      <w:r w:rsidR="001E2FE1">
        <w:rPr>
          <w:rFonts w:ascii="Arial" w:hAnsi="Arial" w:cs="Arial"/>
          <w:sz w:val="22"/>
          <w:szCs w:val="22"/>
          <w:lang w:eastAsia="en-AU"/>
        </w:rPr>
        <w:t>The Policy sets out a target for affordable rental h</w:t>
      </w:r>
      <w:r w:rsidR="00E667AA">
        <w:rPr>
          <w:rFonts w:ascii="Arial" w:hAnsi="Arial" w:cs="Arial"/>
          <w:sz w:val="22"/>
          <w:szCs w:val="22"/>
          <w:lang w:eastAsia="en-AU"/>
        </w:rPr>
        <w:t xml:space="preserve">ousing provision across </w:t>
      </w:r>
      <w:r w:rsidR="001E2FE1">
        <w:rPr>
          <w:rFonts w:ascii="Arial" w:hAnsi="Arial" w:cs="Arial"/>
          <w:sz w:val="22"/>
          <w:szCs w:val="22"/>
          <w:lang w:eastAsia="en-AU"/>
        </w:rPr>
        <w:t>Parramatta to be achieved over the next 20 years to 2036.</w:t>
      </w:r>
      <w:r w:rsidR="00973926">
        <w:rPr>
          <w:rFonts w:ascii="Arial" w:hAnsi="Arial" w:cs="Arial"/>
          <w:sz w:val="22"/>
          <w:szCs w:val="22"/>
          <w:lang w:eastAsia="en-AU"/>
        </w:rPr>
        <w:t xml:space="preserve"> While Council does not control all </w:t>
      </w:r>
      <w:r w:rsidR="00451135">
        <w:rPr>
          <w:rFonts w:ascii="Arial" w:hAnsi="Arial" w:cs="Arial"/>
          <w:sz w:val="22"/>
          <w:szCs w:val="22"/>
          <w:lang w:eastAsia="en-AU"/>
        </w:rPr>
        <w:t>the mechanisms that impact housing affordability or the direct provision of affordable housing, it will seek to use those within its remit to achieve this target.</w:t>
      </w:r>
    </w:p>
    <w:p w:rsidR="00D33266" w:rsidRDefault="00D33266" w:rsidP="00125881">
      <w:pPr>
        <w:autoSpaceDE w:val="0"/>
        <w:autoSpaceDN w:val="0"/>
        <w:adjustRightInd w:val="0"/>
        <w:jc w:val="both"/>
        <w:rPr>
          <w:rFonts w:ascii="Arial" w:hAnsi="Arial" w:cs="Arial"/>
          <w:sz w:val="22"/>
          <w:szCs w:val="22"/>
          <w:lang w:eastAsia="en-AU"/>
        </w:rPr>
      </w:pPr>
    </w:p>
    <w:p w:rsidR="00417A88" w:rsidRPr="00417A88" w:rsidRDefault="00417A88" w:rsidP="00125881">
      <w:pPr>
        <w:jc w:val="both"/>
        <w:rPr>
          <w:rFonts w:ascii="Arial" w:hAnsi="Arial" w:cs="Arial"/>
          <w:b/>
          <w:sz w:val="22"/>
          <w:szCs w:val="22"/>
          <w:lang w:eastAsia="en-AU"/>
        </w:rPr>
      </w:pPr>
      <w:r w:rsidRPr="008E10E6">
        <w:rPr>
          <w:rFonts w:ascii="Arial" w:hAnsi="Arial" w:cs="Arial"/>
          <w:b/>
          <w:szCs w:val="22"/>
          <w:lang w:eastAsia="en-AU"/>
        </w:rPr>
        <w:t xml:space="preserve">2.3 </w:t>
      </w:r>
      <w:r w:rsidR="00A557F2" w:rsidRPr="008E10E6">
        <w:rPr>
          <w:rFonts w:ascii="Arial" w:hAnsi="Arial" w:cs="Arial"/>
          <w:b/>
          <w:szCs w:val="22"/>
          <w:lang w:eastAsia="en-AU"/>
        </w:rPr>
        <w:t>Where</w:t>
      </w:r>
      <w:r w:rsidRPr="008E10E6">
        <w:rPr>
          <w:rFonts w:ascii="Arial" w:hAnsi="Arial" w:cs="Arial"/>
          <w:b/>
          <w:szCs w:val="22"/>
          <w:lang w:eastAsia="en-AU"/>
        </w:rPr>
        <w:t xml:space="preserve"> does this Policy apply?</w:t>
      </w:r>
    </w:p>
    <w:p w:rsidR="00DE785C" w:rsidRDefault="00DE785C" w:rsidP="00125881">
      <w:pPr>
        <w:jc w:val="both"/>
        <w:rPr>
          <w:rFonts w:ascii="Arial" w:hAnsi="Arial" w:cs="Arial"/>
          <w:sz w:val="22"/>
          <w:szCs w:val="22"/>
          <w:lang w:eastAsia="en-AU"/>
        </w:rPr>
      </w:pPr>
      <w:r>
        <w:rPr>
          <w:rFonts w:ascii="Arial" w:hAnsi="Arial" w:cs="Arial"/>
          <w:sz w:val="22"/>
          <w:szCs w:val="22"/>
          <w:lang w:eastAsia="en-AU"/>
        </w:rPr>
        <w:t>The purpose and principles of this Policy apply to the entire City of Parramatta local government area. Housing affordability is an issue that spans all areas of the City and is not confined to any specific location, although it is acknowledged that some suburbs experience higher rates of housing stress than others.</w:t>
      </w:r>
    </w:p>
    <w:p w:rsidR="00D10A85" w:rsidRDefault="00D10A85" w:rsidP="00125881">
      <w:pPr>
        <w:pBdr>
          <w:bottom w:val="single" w:sz="4" w:space="1" w:color="auto"/>
        </w:pBdr>
        <w:jc w:val="both"/>
        <w:rPr>
          <w:rFonts w:ascii="Arial" w:hAnsi="Arial" w:cs="Arial"/>
          <w:sz w:val="22"/>
          <w:szCs w:val="22"/>
        </w:rPr>
      </w:pPr>
    </w:p>
    <w:p w:rsidR="00976D48" w:rsidRDefault="00976D48" w:rsidP="00125881">
      <w:pPr>
        <w:pBdr>
          <w:bottom w:val="single" w:sz="4" w:space="1" w:color="auto"/>
        </w:pBdr>
        <w:jc w:val="both"/>
        <w:rPr>
          <w:rFonts w:ascii="Arial" w:hAnsi="Arial" w:cs="Arial"/>
          <w:sz w:val="22"/>
          <w:szCs w:val="22"/>
        </w:rPr>
      </w:pPr>
    </w:p>
    <w:p w:rsidR="00976D48" w:rsidRDefault="00976D48" w:rsidP="00125881">
      <w:pPr>
        <w:pBdr>
          <w:bottom w:val="single" w:sz="4" w:space="1" w:color="auto"/>
        </w:pBdr>
        <w:jc w:val="both"/>
        <w:rPr>
          <w:rFonts w:ascii="Arial" w:hAnsi="Arial" w:cs="Arial"/>
          <w:sz w:val="22"/>
          <w:szCs w:val="22"/>
        </w:rPr>
      </w:pPr>
    </w:p>
    <w:p w:rsidR="00C9724C" w:rsidRDefault="00C9724C" w:rsidP="006E499F">
      <w:pPr>
        <w:pBdr>
          <w:bottom w:val="single" w:sz="4" w:space="1" w:color="auto"/>
        </w:pBdr>
        <w:rPr>
          <w:rFonts w:ascii="Arial" w:hAnsi="Arial" w:cs="Arial"/>
          <w:sz w:val="22"/>
          <w:szCs w:val="22"/>
        </w:rPr>
      </w:pPr>
    </w:p>
    <w:p w:rsidR="00C9724C" w:rsidRDefault="00C9724C" w:rsidP="006E499F">
      <w:pPr>
        <w:pBdr>
          <w:bottom w:val="single" w:sz="4" w:space="1" w:color="auto"/>
        </w:pBdr>
        <w:rPr>
          <w:rFonts w:ascii="Arial" w:hAnsi="Arial" w:cs="Arial"/>
          <w:sz w:val="22"/>
          <w:szCs w:val="22"/>
        </w:rPr>
      </w:pPr>
    </w:p>
    <w:p w:rsidR="00C9724C" w:rsidRDefault="00C9724C" w:rsidP="006E499F">
      <w:pPr>
        <w:pBdr>
          <w:bottom w:val="single" w:sz="4" w:space="1" w:color="auto"/>
        </w:pBdr>
        <w:rPr>
          <w:rFonts w:ascii="Arial" w:hAnsi="Arial" w:cs="Arial"/>
          <w:sz w:val="22"/>
          <w:szCs w:val="22"/>
        </w:rPr>
      </w:pPr>
    </w:p>
    <w:p w:rsidR="00C9724C" w:rsidRDefault="00C9724C" w:rsidP="006E499F">
      <w:pPr>
        <w:pBdr>
          <w:bottom w:val="single" w:sz="4" w:space="1" w:color="auto"/>
        </w:pBdr>
        <w:rPr>
          <w:rFonts w:ascii="Arial" w:hAnsi="Arial" w:cs="Arial"/>
          <w:sz w:val="22"/>
          <w:szCs w:val="22"/>
        </w:rPr>
      </w:pPr>
    </w:p>
    <w:p w:rsidR="00C9724C" w:rsidRPr="00DB0317" w:rsidRDefault="00C9724C" w:rsidP="006E499F">
      <w:pPr>
        <w:pBdr>
          <w:bottom w:val="single" w:sz="4" w:space="1" w:color="auto"/>
        </w:pBdr>
        <w:rPr>
          <w:rFonts w:ascii="Arial" w:hAnsi="Arial" w:cs="Arial"/>
          <w:sz w:val="22"/>
          <w:szCs w:val="22"/>
        </w:rPr>
      </w:pPr>
    </w:p>
    <w:p w:rsidR="006E499F" w:rsidRPr="008E10E6" w:rsidRDefault="006E499F" w:rsidP="00125881">
      <w:pPr>
        <w:pStyle w:val="ListParagraph"/>
        <w:numPr>
          <w:ilvl w:val="0"/>
          <w:numId w:val="5"/>
        </w:numPr>
        <w:ind w:left="426" w:hanging="426"/>
        <w:jc w:val="both"/>
        <w:rPr>
          <w:rFonts w:ascii="Arial" w:hAnsi="Arial" w:cs="Arial"/>
          <w:b/>
          <w:sz w:val="28"/>
          <w:szCs w:val="22"/>
        </w:rPr>
      </w:pPr>
      <w:r w:rsidRPr="008E10E6">
        <w:rPr>
          <w:rFonts w:ascii="Arial" w:hAnsi="Arial" w:cs="Arial"/>
          <w:b/>
          <w:sz w:val="28"/>
          <w:szCs w:val="22"/>
        </w:rPr>
        <w:lastRenderedPageBreak/>
        <w:t xml:space="preserve">Purpose </w:t>
      </w:r>
    </w:p>
    <w:p w:rsidR="006E499F" w:rsidRPr="00DB0317" w:rsidRDefault="006E499F" w:rsidP="00125881">
      <w:pPr>
        <w:pStyle w:val="Default"/>
        <w:jc w:val="both"/>
      </w:pPr>
    </w:p>
    <w:p w:rsidR="009D7E9B" w:rsidRPr="008E10E6" w:rsidRDefault="004A7E11" w:rsidP="00125881">
      <w:pPr>
        <w:contextualSpacing/>
        <w:jc w:val="both"/>
        <w:rPr>
          <w:rFonts w:ascii="Arial" w:hAnsi="Arial" w:cs="Arial"/>
          <w:b/>
          <w:szCs w:val="22"/>
        </w:rPr>
      </w:pPr>
      <w:r w:rsidRPr="008E10E6">
        <w:rPr>
          <w:rFonts w:ascii="Arial" w:hAnsi="Arial" w:cs="Arial"/>
          <w:b/>
          <w:szCs w:val="22"/>
        </w:rPr>
        <w:t>3.1 Reducing housing s</w:t>
      </w:r>
      <w:r w:rsidR="009D7E9B" w:rsidRPr="008E10E6">
        <w:rPr>
          <w:rFonts w:ascii="Arial" w:hAnsi="Arial" w:cs="Arial"/>
          <w:b/>
          <w:szCs w:val="22"/>
        </w:rPr>
        <w:t>tress</w:t>
      </w:r>
    </w:p>
    <w:p w:rsidR="003D4357" w:rsidRDefault="003D4357" w:rsidP="00125881">
      <w:pPr>
        <w:contextualSpacing/>
        <w:jc w:val="both"/>
        <w:rPr>
          <w:rFonts w:ascii="Arial" w:hAnsi="Arial" w:cs="Arial"/>
          <w:sz w:val="22"/>
          <w:szCs w:val="22"/>
        </w:rPr>
      </w:pPr>
      <w:r>
        <w:rPr>
          <w:rFonts w:ascii="Arial" w:hAnsi="Arial" w:cs="Arial"/>
          <w:sz w:val="22"/>
          <w:szCs w:val="22"/>
        </w:rPr>
        <w:t xml:space="preserve">The </w:t>
      </w:r>
      <w:r w:rsidR="00282A37">
        <w:rPr>
          <w:rFonts w:ascii="Arial" w:hAnsi="Arial" w:cs="Arial"/>
          <w:sz w:val="22"/>
          <w:szCs w:val="22"/>
        </w:rPr>
        <w:t xml:space="preserve">primary </w:t>
      </w:r>
      <w:r>
        <w:rPr>
          <w:rFonts w:ascii="Arial" w:hAnsi="Arial" w:cs="Arial"/>
          <w:sz w:val="22"/>
          <w:szCs w:val="22"/>
        </w:rPr>
        <w:t xml:space="preserve">purpose of this Policy is to </w:t>
      </w:r>
      <w:r w:rsidR="007606E0">
        <w:rPr>
          <w:rFonts w:ascii="Arial" w:hAnsi="Arial" w:cs="Arial"/>
          <w:sz w:val="22"/>
          <w:szCs w:val="22"/>
        </w:rPr>
        <w:t>r</w:t>
      </w:r>
      <w:r w:rsidR="007606E0" w:rsidRPr="003D4357">
        <w:rPr>
          <w:rFonts w:ascii="Arial" w:hAnsi="Arial" w:cs="Arial"/>
          <w:sz w:val="22"/>
          <w:szCs w:val="22"/>
        </w:rPr>
        <w:t>educe the level of housing stress experienced by residents across City of Parramatta</w:t>
      </w:r>
      <w:r w:rsidR="00D47673">
        <w:rPr>
          <w:rFonts w:ascii="Arial" w:hAnsi="Arial" w:cs="Arial"/>
          <w:sz w:val="22"/>
          <w:szCs w:val="22"/>
        </w:rPr>
        <w:t xml:space="preserve"> so tha</w:t>
      </w:r>
      <w:r w:rsidR="0086637E">
        <w:rPr>
          <w:rFonts w:ascii="Arial" w:hAnsi="Arial" w:cs="Arial"/>
          <w:sz w:val="22"/>
          <w:szCs w:val="22"/>
        </w:rPr>
        <w:t>t</w:t>
      </w:r>
      <w:r w:rsidR="00532705">
        <w:rPr>
          <w:rFonts w:ascii="Arial" w:hAnsi="Arial" w:cs="Arial"/>
          <w:sz w:val="22"/>
          <w:szCs w:val="22"/>
        </w:rPr>
        <w:t xml:space="preserve"> residents and the City of Parramatta thrive</w:t>
      </w:r>
      <w:r w:rsidR="0086637E">
        <w:rPr>
          <w:rFonts w:ascii="Arial" w:hAnsi="Arial" w:cs="Arial"/>
          <w:sz w:val="22"/>
          <w:szCs w:val="22"/>
        </w:rPr>
        <w:t xml:space="preserve"> socially and economically</w:t>
      </w:r>
      <w:r w:rsidR="00282A37">
        <w:rPr>
          <w:rFonts w:ascii="Arial" w:hAnsi="Arial" w:cs="Arial"/>
          <w:sz w:val="22"/>
          <w:szCs w:val="22"/>
        </w:rPr>
        <w:t>.</w:t>
      </w:r>
      <w:r w:rsidR="0086637E">
        <w:rPr>
          <w:rFonts w:ascii="Arial" w:hAnsi="Arial" w:cs="Arial"/>
          <w:sz w:val="22"/>
          <w:szCs w:val="22"/>
        </w:rPr>
        <w:t xml:space="preserve"> </w:t>
      </w:r>
      <w:r w:rsidR="00282A37">
        <w:rPr>
          <w:rFonts w:ascii="Arial" w:hAnsi="Arial" w:cs="Arial"/>
          <w:sz w:val="22"/>
          <w:szCs w:val="22"/>
        </w:rPr>
        <w:t>This will be achieved</w:t>
      </w:r>
      <w:r w:rsidR="007606E0">
        <w:rPr>
          <w:rFonts w:ascii="Arial" w:hAnsi="Arial" w:cs="Arial"/>
          <w:sz w:val="22"/>
          <w:szCs w:val="22"/>
        </w:rPr>
        <w:t xml:space="preserve"> by increasing</w:t>
      </w:r>
      <w:r w:rsidR="00E23402">
        <w:rPr>
          <w:rFonts w:ascii="Arial" w:hAnsi="Arial" w:cs="Arial"/>
          <w:sz w:val="22"/>
          <w:szCs w:val="22"/>
        </w:rPr>
        <w:t xml:space="preserve"> the provision of affordable rental housing</w:t>
      </w:r>
      <w:r w:rsidR="00282A37">
        <w:rPr>
          <w:rFonts w:ascii="Arial" w:hAnsi="Arial" w:cs="Arial"/>
          <w:sz w:val="22"/>
          <w:szCs w:val="22"/>
        </w:rPr>
        <w:t xml:space="preserve"> using a number of mechanisms</w:t>
      </w:r>
      <w:r>
        <w:rPr>
          <w:rFonts w:ascii="Arial" w:hAnsi="Arial" w:cs="Arial"/>
          <w:sz w:val="22"/>
          <w:szCs w:val="22"/>
        </w:rPr>
        <w:t xml:space="preserve">. This purpose is driven by a number of </w:t>
      </w:r>
      <w:r w:rsidR="00976715">
        <w:rPr>
          <w:rFonts w:ascii="Arial" w:hAnsi="Arial" w:cs="Arial"/>
          <w:sz w:val="22"/>
          <w:szCs w:val="22"/>
        </w:rPr>
        <w:t xml:space="preserve">broader </w:t>
      </w:r>
      <w:r w:rsidR="00ED7D44">
        <w:rPr>
          <w:rFonts w:ascii="Arial" w:hAnsi="Arial" w:cs="Arial"/>
          <w:sz w:val="22"/>
          <w:szCs w:val="22"/>
        </w:rPr>
        <w:t>objectives as follows</w:t>
      </w:r>
      <w:r>
        <w:rPr>
          <w:rFonts w:ascii="Arial" w:hAnsi="Arial" w:cs="Arial"/>
          <w:sz w:val="22"/>
          <w:szCs w:val="22"/>
        </w:rPr>
        <w:t>:</w:t>
      </w:r>
    </w:p>
    <w:p w:rsidR="003D4357" w:rsidRDefault="003D4357" w:rsidP="00125881">
      <w:pPr>
        <w:contextualSpacing/>
        <w:jc w:val="both"/>
        <w:rPr>
          <w:rFonts w:ascii="Arial" w:hAnsi="Arial" w:cs="Arial"/>
          <w:sz w:val="22"/>
          <w:szCs w:val="22"/>
        </w:rPr>
      </w:pPr>
    </w:p>
    <w:p w:rsidR="00ED7D44" w:rsidRPr="00ED7D44" w:rsidRDefault="00ED7D44" w:rsidP="00125881">
      <w:pPr>
        <w:pStyle w:val="ListParagraph"/>
        <w:numPr>
          <w:ilvl w:val="0"/>
          <w:numId w:val="9"/>
        </w:numPr>
        <w:jc w:val="both"/>
        <w:rPr>
          <w:rFonts w:ascii="Arial" w:hAnsi="Arial" w:cs="Arial"/>
          <w:sz w:val="22"/>
          <w:szCs w:val="22"/>
        </w:rPr>
      </w:pPr>
      <w:r w:rsidRPr="00ED7D44">
        <w:rPr>
          <w:rFonts w:ascii="Arial" w:hAnsi="Arial" w:cs="Arial"/>
          <w:sz w:val="22"/>
          <w:szCs w:val="22"/>
          <w:u w:val="single"/>
        </w:rPr>
        <w:t>Creating vibrant neighbo</w:t>
      </w:r>
      <w:r w:rsidR="00603C77">
        <w:rPr>
          <w:rFonts w:ascii="Arial" w:hAnsi="Arial" w:cs="Arial"/>
          <w:sz w:val="22"/>
          <w:szCs w:val="22"/>
          <w:u w:val="single"/>
        </w:rPr>
        <w:t>u</w:t>
      </w:r>
      <w:r w:rsidRPr="00ED7D44">
        <w:rPr>
          <w:rFonts w:ascii="Arial" w:hAnsi="Arial" w:cs="Arial"/>
          <w:sz w:val="22"/>
          <w:szCs w:val="22"/>
          <w:u w:val="single"/>
        </w:rPr>
        <w:t>rhoods</w:t>
      </w:r>
      <w:r w:rsidR="00532705">
        <w:rPr>
          <w:rFonts w:ascii="Arial" w:hAnsi="Arial" w:cs="Arial"/>
          <w:sz w:val="22"/>
          <w:szCs w:val="22"/>
        </w:rPr>
        <w:t xml:space="preserve"> – Council’s</w:t>
      </w:r>
      <w:r>
        <w:rPr>
          <w:rFonts w:ascii="Arial" w:hAnsi="Arial" w:cs="Arial"/>
          <w:sz w:val="22"/>
          <w:szCs w:val="22"/>
        </w:rPr>
        <w:t xml:space="preserve"> </w:t>
      </w:r>
      <w:r w:rsidR="00532705">
        <w:rPr>
          <w:rFonts w:ascii="Arial" w:hAnsi="Arial" w:cs="Arial"/>
          <w:sz w:val="22"/>
          <w:szCs w:val="22"/>
        </w:rPr>
        <w:t>‘</w:t>
      </w:r>
      <w:r>
        <w:rPr>
          <w:rFonts w:ascii="Arial" w:hAnsi="Arial" w:cs="Arial"/>
          <w:sz w:val="22"/>
          <w:szCs w:val="22"/>
        </w:rPr>
        <w:t>Our Vision and Priorities</w:t>
      </w:r>
      <w:r w:rsidR="00532705">
        <w:rPr>
          <w:rFonts w:ascii="Arial" w:hAnsi="Arial" w:cs="Arial"/>
          <w:sz w:val="22"/>
          <w:szCs w:val="22"/>
        </w:rPr>
        <w:t xml:space="preserve"> 2016’</w:t>
      </w:r>
      <w:r>
        <w:rPr>
          <w:rFonts w:ascii="Arial" w:hAnsi="Arial" w:cs="Arial"/>
          <w:sz w:val="22"/>
          <w:szCs w:val="22"/>
        </w:rPr>
        <w:t xml:space="preserve"> document provides high level direction on the priorities of the City’s residents. One of the key priorities identified in this document is “creating vibrant neighbo</w:t>
      </w:r>
      <w:r w:rsidR="00603C77">
        <w:rPr>
          <w:rFonts w:ascii="Arial" w:hAnsi="Arial" w:cs="Arial"/>
          <w:sz w:val="22"/>
          <w:szCs w:val="22"/>
        </w:rPr>
        <w:t>u</w:t>
      </w:r>
      <w:r>
        <w:rPr>
          <w:rFonts w:ascii="Arial" w:hAnsi="Arial" w:cs="Arial"/>
          <w:sz w:val="22"/>
          <w:szCs w:val="22"/>
        </w:rPr>
        <w:t>rhoods and precincts.’ This priority includes renewal to increase jobs and housing across the City in order to meet the needs of our growing population.</w:t>
      </w:r>
    </w:p>
    <w:p w:rsidR="00ED7D44" w:rsidRPr="00ED7D44" w:rsidRDefault="00ED7D44" w:rsidP="00125881">
      <w:pPr>
        <w:pStyle w:val="ListParagraph"/>
        <w:jc w:val="both"/>
        <w:rPr>
          <w:rFonts w:ascii="Arial" w:hAnsi="Arial" w:cs="Arial"/>
          <w:sz w:val="22"/>
          <w:szCs w:val="22"/>
        </w:rPr>
      </w:pPr>
    </w:p>
    <w:p w:rsidR="003D4357" w:rsidRDefault="003D4357" w:rsidP="00125881">
      <w:pPr>
        <w:pStyle w:val="ListParagraph"/>
        <w:numPr>
          <w:ilvl w:val="0"/>
          <w:numId w:val="9"/>
        </w:numPr>
        <w:jc w:val="both"/>
        <w:rPr>
          <w:rFonts w:ascii="Arial" w:hAnsi="Arial" w:cs="Arial"/>
          <w:sz w:val="22"/>
          <w:szCs w:val="22"/>
        </w:rPr>
      </w:pPr>
      <w:r w:rsidRPr="00E23402">
        <w:rPr>
          <w:rFonts w:ascii="Arial" w:hAnsi="Arial" w:cs="Arial"/>
          <w:sz w:val="22"/>
          <w:szCs w:val="22"/>
          <w:u w:val="single"/>
        </w:rPr>
        <w:t>Social sustainability</w:t>
      </w:r>
      <w:r>
        <w:rPr>
          <w:rFonts w:ascii="Arial" w:hAnsi="Arial" w:cs="Arial"/>
          <w:sz w:val="22"/>
          <w:szCs w:val="22"/>
        </w:rPr>
        <w:t xml:space="preserve"> – </w:t>
      </w:r>
      <w:r w:rsidR="00E23402">
        <w:rPr>
          <w:rFonts w:ascii="Arial" w:hAnsi="Arial" w:cs="Arial"/>
          <w:sz w:val="22"/>
          <w:szCs w:val="22"/>
        </w:rPr>
        <w:t>The draft Social</w:t>
      </w:r>
      <w:r w:rsidR="00B54662">
        <w:rPr>
          <w:rFonts w:ascii="Arial" w:hAnsi="Arial" w:cs="Arial"/>
          <w:sz w:val="22"/>
          <w:szCs w:val="22"/>
        </w:rPr>
        <w:t>ly Sustainable</w:t>
      </w:r>
      <w:r w:rsidR="00E23402">
        <w:rPr>
          <w:rFonts w:ascii="Arial" w:hAnsi="Arial" w:cs="Arial"/>
          <w:sz w:val="22"/>
          <w:szCs w:val="22"/>
        </w:rPr>
        <w:t xml:space="preserve"> </w:t>
      </w:r>
      <w:r w:rsidR="00B54662">
        <w:rPr>
          <w:rFonts w:ascii="Arial" w:hAnsi="Arial" w:cs="Arial"/>
          <w:sz w:val="22"/>
          <w:szCs w:val="22"/>
        </w:rPr>
        <w:t xml:space="preserve">Parramatta </w:t>
      </w:r>
      <w:r w:rsidR="00E23402">
        <w:rPr>
          <w:rFonts w:ascii="Arial" w:hAnsi="Arial" w:cs="Arial"/>
          <w:sz w:val="22"/>
          <w:szCs w:val="22"/>
        </w:rPr>
        <w:t>Framework identifies eight goals for the City of Parramatta to achieve social sustainability,</w:t>
      </w:r>
      <w:r w:rsidR="00587019">
        <w:rPr>
          <w:rFonts w:ascii="Arial" w:hAnsi="Arial" w:cs="Arial"/>
          <w:sz w:val="22"/>
          <w:szCs w:val="22"/>
        </w:rPr>
        <w:t xml:space="preserve"> and one of these goals i</w:t>
      </w:r>
      <w:r w:rsidR="00E23402">
        <w:rPr>
          <w:rFonts w:ascii="Arial" w:hAnsi="Arial" w:cs="Arial"/>
          <w:sz w:val="22"/>
          <w:szCs w:val="22"/>
        </w:rPr>
        <w:t xml:space="preserve">s </w:t>
      </w:r>
      <w:r w:rsidR="00375B2B">
        <w:rPr>
          <w:rFonts w:ascii="Arial" w:hAnsi="Arial" w:cs="Arial"/>
          <w:sz w:val="22"/>
          <w:szCs w:val="22"/>
        </w:rPr>
        <w:t>“</w:t>
      </w:r>
      <w:r w:rsidR="00E23402">
        <w:rPr>
          <w:rFonts w:ascii="Arial" w:hAnsi="Arial" w:cs="Arial"/>
          <w:sz w:val="22"/>
          <w:szCs w:val="22"/>
        </w:rPr>
        <w:t>diverse and affordable homes for everyone.</w:t>
      </w:r>
      <w:r w:rsidR="00375B2B">
        <w:rPr>
          <w:rFonts w:ascii="Arial" w:hAnsi="Arial" w:cs="Arial"/>
          <w:sz w:val="22"/>
          <w:szCs w:val="22"/>
        </w:rPr>
        <w:t>”</w:t>
      </w:r>
      <w:r w:rsidR="00BC024C">
        <w:rPr>
          <w:rFonts w:ascii="Arial" w:hAnsi="Arial" w:cs="Arial"/>
          <w:sz w:val="22"/>
          <w:szCs w:val="22"/>
        </w:rPr>
        <w:t xml:space="preserve"> One of the key tenets of social sustainability is diversity. Ensuring that the City of Parramatta provides a range of housing types to meet the varying needs of different people will </w:t>
      </w:r>
      <w:r w:rsidR="00B54662">
        <w:rPr>
          <w:rFonts w:ascii="Arial" w:hAnsi="Arial" w:cs="Arial"/>
          <w:sz w:val="22"/>
          <w:szCs w:val="22"/>
        </w:rPr>
        <w:t>contribute</w:t>
      </w:r>
      <w:r w:rsidR="00BC024C">
        <w:rPr>
          <w:rFonts w:ascii="Arial" w:hAnsi="Arial" w:cs="Arial"/>
          <w:sz w:val="22"/>
          <w:szCs w:val="22"/>
        </w:rPr>
        <w:t xml:space="preserve"> to </w:t>
      </w:r>
      <w:r w:rsidR="00B54662">
        <w:rPr>
          <w:rFonts w:ascii="Arial" w:hAnsi="Arial" w:cs="Arial"/>
          <w:sz w:val="22"/>
          <w:szCs w:val="22"/>
        </w:rPr>
        <w:t xml:space="preserve">strengthening </w:t>
      </w:r>
      <w:r w:rsidR="00BC024C">
        <w:rPr>
          <w:rFonts w:ascii="Arial" w:hAnsi="Arial" w:cs="Arial"/>
          <w:sz w:val="22"/>
          <w:szCs w:val="22"/>
        </w:rPr>
        <w:t>social sustainability in our communities</w:t>
      </w:r>
      <w:r w:rsidR="00B54662">
        <w:rPr>
          <w:rFonts w:ascii="Arial" w:hAnsi="Arial" w:cs="Arial"/>
          <w:sz w:val="22"/>
          <w:szCs w:val="22"/>
        </w:rPr>
        <w:t>, now and in the future</w:t>
      </w:r>
      <w:r w:rsidR="00BC024C">
        <w:rPr>
          <w:rFonts w:ascii="Arial" w:hAnsi="Arial" w:cs="Arial"/>
          <w:sz w:val="22"/>
          <w:szCs w:val="22"/>
        </w:rPr>
        <w:t>.</w:t>
      </w:r>
    </w:p>
    <w:p w:rsidR="00E23402" w:rsidRDefault="00E23402" w:rsidP="00125881">
      <w:pPr>
        <w:pStyle w:val="ListParagraph"/>
        <w:jc w:val="both"/>
        <w:rPr>
          <w:rFonts w:ascii="Arial" w:hAnsi="Arial" w:cs="Arial"/>
          <w:sz w:val="22"/>
          <w:szCs w:val="22"/>
        </w:rPr>
      </w:pPr>
    </w:p>
    <w:p w:rsidR="003D4357" w:rsidRDefault="003D4357" w:rsidP="00125881">
      <w:pPr>
        <w:pStyle w:val="ListParagraph"/>
        <w:numPr>
          <w:ilvl w:val="0"/>
          <w:numId w:val="9"/>
        </w:numPr>
        <w:jc w:val="both"/>
        <w:rPr>
          <w:rFonts w:ascii="Arial" w:hAnsi="Arial" w:cs="Arial"/>
          <w:sz w:val="22"/>
          <w:szCs w:val="22"/>
        </w:rPr>
      </w:pPr>
      <w:r w:rsidRPr="00E23402">
        <w:rPr>
          <w:rFonts w:ascii="Arial" w:hAnsi="Arial" w:cs="Arial"/>
          <w:sz w:val="22"/>
          <w:szCs w:val="22"/>
          <w:u w:val="single"/>
        </w:rPr>
        <w:t>Economic development and growth</w:t>
      </w:r>
      <w:r w:rsidR="00E23402">
        <w:rPr>
          <w:rFonts w:ascii="Arial" w:hAnsi="Arial" w:cs="Arial"/>
          <w:sz w:val="22"/>
          <w:szCs w:val="22"/>
        </w:rPr>
        <w:t xml:space="preserve"> – The draft Economic Development </w:t>
      </w:r>
      <w:r w:rsidR="007A41FF">
        <w:rPr>
          <w:rFonts w:ascii="Arial" w:hAnsi="Arial" w:cs="Arial"/>
          <w:sz w:val="22"/>
          <w:szCs w:val="22"/>
        </w:rPr>
        <w:t>Plan</w:t>
      </w:r>
      <w:r w:rsidR="005C23F4">
        <w:rPr>
          <w:rFonts w:ascii="Arial" w:hAnsi="Arial" w:cs="Arial"/>
          <w:sz w:val="22"/>
          <w:szCs w:val="22"/>
        </w:rPr>
        <w:t xml:space="preserve"> seeks to increas</w:t>
      </w:r>
      <w:r w:rsidR="00B71616">
        <w:rPr>
          <w:rFonts w:ascii="Arial" w:hAnsi="Arial" w:cs="Arial"/>
          <w:sz w:val="22"/>
          <w:szCs w:val="22"/>
        </w:rPr>
        <w:t xml:space="preserve">e the number of jobs in </w:t>
      </w:r>
      <w:r w:rsidR="005C23F4">
        <w:rPr>
          <w:rFonts w:ascii="Arial" w:hAnsi="Arial" w:cs="Arial"/>
          <w:sz w:val="22"/>
          <w:szCs w:val="22"/>
        </w:rPr>
        <w:t xml:space="preserve">Parramatta over the next five years. </w:t>
      </w:r>
      <w:r w:rsidR="00375B2B">
        <w:rPr>
          <w:rFonts w:ascii="Arial" w:hAnsi="Arial" w:cs="Arial"/>
          <w:sz w:val="22"/>
          <w:szCs w:val="22"/>
        </w:rPr>
        <w:t>The plan acknowledges that increasing housing prices can push people further away from empl</w:t>
      </w:r>
      <w:r w:rsidR="000D60A7">
        <w:rPr>
          <w:rFonts w:ascii="Arial" w:hAnsi="Arial" w:cs="Arial"/>
          <w:sz w:val="22"/>
          <w:szCs w:val="22"/>
        </w:rPr>
        <w:t>oyment opportunities</w:t>
      </w:r>
      <w:r w:rsidR="00907E0F">
        <w:rPr>
          <w:rFonts w:ascii="Arial" w:hAnsi="Arial" w:cs="Arial"/>
          <w:sz w:val="22"/>
          <w:szCs w:val="22"/>
        </w:rPr>
        <w:t>.</w:t>
      </w:r>
      <w:r w:rsidR="00B71616">
        <w:rPr>
          <w:rFonts w:ascii="Arial" w:hAnsi="Arial" w:cs="Arial"/>
          <w:sz w:val="22"/>
          <w:szCs w:val="22"/>
        </w:rPr>
        <w:t xml:space="preserve"> It is estimated that </w:t>
      </w:r>
      <w:r w:rsidR="00C24FA8" w:rsidRPr="00FB0929">
        <w:rPr>
          <w:rFonts w:ascii="Arial" w:hAnsi="Arial" w:cs="Arial"/>
          <w:sz w:val="22"/>
          <w:szCs w:val="22"/>
        </w:rPr>
        <w:t>Parram</w:t>
      </w:r>
      <w:r w:rsidR="00FB0929" w:rsidRPr="00FB0929">
        <w:rPr>
          <w:rFonts w:ascii="Arial" w:hAnsi="Arial" w:cs="Arial"/>
          <w:sz w:val="22"/>
          <w:szCs w:val="22"/>
        </w:rPr>
        <w:t>atta will require 31,682</w:t>
      </w:r>
      <w:r w:rsidR="00656468">
        <w:rPr>
          <w:rFonts w:ascii="Arial" w:hAnsi="Arial" w:cs="Arial"/>
          <w:sz w:val="22"/>
          <w:szCs w:val="22"/>
        </w:rPr>
        <w:t xml:space="preserve"> key workers by 2036. Given that key workers usually ea</w:t>
      </w:r>
      <w:r w:rsidR="00AC6AD2">
        <w:rPr>
          <w:rFonts w:ascii="Arial" w:hAnsi="Arial" w:cs="Arial"/>
          <w:sz w:val="22"/>
          <w:szCs w:val="22"/>
        </w:rPr>
        <w:t>rn low to moderate incomes, many</w:t>
      </w:r>
      <w:r w:rsidR="00656468">
        <w:rPr>
          <w:rFonts w:ascii="Arial" w:hAnsi="Arial" w:cs="Arial"/>
          <w:sz w:val="22"/>
          <w:szCs w:val="22"/>
        </w:rPr>
        <w:t xml:space="preserve"> will require affordable rental housing in order to</w:t>
      </w:r>
      <w:r w:rsidR="00AC6AD2">
        <w:rPr>
          <w:rFonts w:ascii="Arial" w:hAnsi="Arial" w:cs="Arial"/>
          <w:sz w:val="22"/>
          <w:szCs w:val="22"/>
        </w:rPr>
        <w:t xml:space="preserve"> live nearby to their work in the City of Parramatta. The risk is that without adequate affordable housing, key workers will choose to live and work in other locations where housing costs are more manageable and will not place them in housing stress. </w:t>
      </w:r>
    </w:p>
    <w:p w:rsidR="005C23F4" w:rsidRPr="00E23402" w:rsidRDefault="005C23F4" w:rsidP="00125881">
      <w:pPr>
        <w:jc w:val="both"/>
        <w:rPr>
          <w:rFonts w:ascii="Arial" w:hAnsi="Arial" w:cs="Arial"/>
          <w:sz w:val="22"/>
          <w:szCs w:val="22"/>
        </w:rPr>
      </w:pPr>
    </w:p>
    <w:p w:rsidR="001078E7" w:rsidRDefault="003D4357" w:rsidP="00125881">
      <w:pPr>
        <w:pStyle w:val="ListParagraph"/>
        <w:numPr>
          <w:ilvl w:val="0"/>
          <w:numId w:val="9"/>
        </w:numPr>
        <w:jc w:val="both"/>
        <w:rPr>
          <w:rFonts w:ascii="Arial" w:hAnsi="Arial" w:cs="Arial"/>
          <w:sz w:val="22"/>
          <w:szCs w:val="22"/>
        </w:rPr>
      </w:pPr>
      <w:r w:rsidRPr="00620A8C">
        <w:rPr>
          <w:rFonts w:ascii="Arial" w:hAnsi="Arial" w:cs="Arial"/>
          <w:sz w:val="22"/>
          <w:szCs w:val="22"/>
          <w:u w:val="single"/>
        </w:rPr>
        <w:t>Diversity and social mix</w:t>
      </w:r>
      <w:r w:rsidR="00620A8C">
        <w:rPr>
          <w:rFonts w:ascii="Arial" w:hAnsi="Arial" w:cs="Arial"/>
          <w:sz w:val="22"/>
          <w:szCs w:val="22"/>
        </w:rPr>
        <w:t xml:space="preserve"> –</w:t>
      </w:r>
      <w:r w:rsidR="007606E0">
        <w:rPr>
          <w:rFonts w:ascii="Arial" w:hAnsi="Arial" w:cs="Arial"/>
          <w:sz w:val="22"/>
          <w:szCs w:val="22"/>
        </w:rPr>
        <w:t xml:space="preserve"> the move away from concentrated areas of social housing towards a ‘salt and pepper’ mix of housing tenures is dr</w:t>
      </w:r>
      <w:r w:rsidR="00C24FA8">
        <w:rPr>
          <w:rFonts w:ascii="Arial" w:hAnsi="Arial" w:cs="Arial"/>
          <w:sz w:val="22"/>
          <w:szCs w:val="22"/>
        </w:rPr>
        <w:t xml:space="preserve">iven by a recognition that it is </w:t>
      </w:r>
      <w:r w:rsidR="007606E0">
        <w:rPr>
          <w:rFonts w:ascii="Arial" w:hAnsi="Arial" w:cs="Arial"/>
          <w:sz w:val="22"/>
          <w:szCs w:val="22"/>
        </w:rPr>
        <w:t>good to have a diversity of housing. A diverse and mixed range of housing tenures and forms also has the added benefit of creating a social mix – a variety of different people in a locality that make it</w:t>
      </w:r>
      <w:r w:rsidR="006909EE">
        <w:rPr>
          <w:rFonts w:ascii="Arial" w:hAnsi="Arial" w:cs="Arial"/>
          <w:sz w:val="22"/>
          <w:szCs w:val="22"/>
        </w:rPr>
        <w:t xml:space="preserve"> an</w:t>
      </w:r>
      <w:r w:rsidR="007606E0">
        <w:rPr>
          <w:rFonts w:ascii="Arial" w:hAnsi="Arial" w:cs="Arial"/>
          <w:sz w:val="22"/>
          <w:szCs w:val="22"/>
        </w:rPr>
        <w:t xml:space="preserve"> interesting</w:t>
      </w:r>
      <w:r w:rsidR="006909EE">
        <w:rPr>
          <w:rFonts w:ascii="Arial" w:hAnsi="Arial" w:cs="Arial"/>
          <w:sz w:val="22"/>
          <w:szCs w:val="22"/>
        </w:rPr>
        <w:t xml:space="preserve"> place to live</w:t>
      </w:r>
      <w:r w:rsidR="007606E0">
        <w:rPr>
          <w:rFonts w:ascii="Arial" w:hAnsi="Arial" w:cs="Arial"/>
          <w:sz w:val="22"/>
          <w:szCs w:val="22"/>
        </w:rPr>
        <w:t xml:space="preserve">. </w:t>
      </w:r>
    </w:p>
    <w:p w:rsidR="0032795F" w:rsidRPr="0032795F" w:rsidRDefault="0032795F" w:rsidP="00125881">
      <w:pPr>
        <w:pStyle w:val="ListParagraph"/>
        <w:jc w:val="both"/>
        <w:rPr>
          <w:rFonts w:ascii="Arial" w:hAnsi="Arial" w:cs="Arial"/>
          <w:sz w:val="22"/>
          <w:szCs w:val="22"/>
        </w:rPr>
      </w:pPr>
    </w:p>
    <w:p w:rsidR="0032795F" w:rsidRDefault="009B532B" w:rsidP="00125881">
      <w:pPr>
        <w:jc w:val="both"/>
        <w:rPr>
          <w:rFonts w:ascii="Arial" w:hAnsi="Arial" w:cs="Arial"/>
          <w:sz w:val="22"/>
          <w:szCs w:val="22"/>
        </w:rPr>
      </w:pPr>
      <w:r>
        <w:rPr>
          <w:rFonts w:ascii="Arial" w:hAnsi="Arial" w:cs="Arial"/>
          <w:sz w:val="22"/>
          <w:szCs w:val="22"/>
        </w:rPr>
        <w:t xml:space="preserve">Reduced housing stress will support all of the above strategies. </w:t>
      </w:r>
      <w:r w:rsidR="00603C77">
        <w:rPr>
          <w:rFonts w:ascii="Arial" w:hAnsi="Arial" w:cs="Arial"/>
          <w:sz w:val="22"/>
          <w:szCs w:val="22"/>
        </w:rPr>
        <w:t xml:space="preserve">Increasing affordable rental housing will help to create vibrant and socially diverse neighbourhoods. </w:t>
      </w:r>
      <w:r w:rsidR="002F59E4">
        <w:rPr>
          <w:rFonts w:ascii="Arial" w:hAnsi="Arial" w:cs="Arial"/>
          <w:sz w:val="22"/>
          <w:szCs w:val="22"/>
        </w:rPr>
        <w:t xml:space="preserve">More affordable housing </w:t>
      </w:r>
      <w:r>
        <w:rPr>
          <w:rFonts w:ascii="Arial" w:hAnsi="Arial" w:cs="Arial"/>
          <w:sz w:val="22"/>
          <w:szCs w:val="22"/>
        </w:rPr>
        <w:t>will allow</w:t>
      </w:r>
      <w:r w:rsidR="002F59E4">
        <w:rPr>
          <w:rFonts w:ascii="Arial" w:hAnsi="Arial" w:cs="Arial"/>
          <w:sz w:val="22"/>
          <w:szCs w:val="22"/>
        </w:rPr>
        <w:t xml:space="preserve"> residents to live closer to work, or close to good public transport links that make the journey to </w:t>
      </w:r>
      <w:r w:rsidR="00C24FA8">
        <w:rPr>
          <w:rFonts w:ascii="Arial" w:hAnsi="Arial" w:cs="Arial"/>
          <w:sz w:val="22"/>
          <w:szCs w:val="22"/>
        </w:rPr>
        <w:t>work</w:t>
      </w:r>
      <w:r w:rsidR="002F59E4">
        <w:rPr>
          <w:rFonts w:ascii="Arial" w:hAnsi="Arial" w:cs="Arial"/>
          <w:sz w:val="22"/>
          <w:szCs w:val="22"/>
        </w:rPr>
        <w:t xml:space="preserve"> cheaper, faster and easier.</w:t>
      </w:r>
    </w:p>
    <w:p w:rsidR="00125881" w:rsidRDefault="00125881" w:rsidP="00125881">
      <w:pPr>
        <w:jc w:val="both"/>
        <w:rPr>
          <w:rFonts w:ascii="Arial" w:hAnsi="Arial" w:cs="Arial"/>
          <w:sz w:val="22"/>
          <w:szCs w:val="22"/>
        </w:rPr>
      </w:pPr>
    </w:p>
    <w:p w:rsidR="0032795F" w:rsidRDefault="0032795F" w:rsidP="00125881">
      <w:pPr>
        <w:jc w:val="both"/>
        <w:rPr>
          <w:rFonts w:ascii="Arial" w:hAnsi="Arial" w:cs="Arial"/>
          <w:sz w:val="22"/>
          <w:szCs w:val="22"/>
        </w:rPr>
      </w:pPr>
    </w:p>
    <w:p w:rsidR="008462B5" w:rsidRPr="008E10E6" w:rsidRDefault="008462B5" w:rsidP="00125881">
      <w:pPr>
        <w:jc w:val="both"/>
        <w:rPr>
          <w:rFonts w:ascii="Arial" w:hAnsi="Arial" w:cs="Arial"/>
          <w:b/>
          <w:szCs w:val="22"/>
        </w:rPr>
      </w:pPr>
      <w:r w:rsidRPr="008E10E6">
        <w:rPr>
          <w:rFonts w:ascii="Arial" w:hAnsi="Arial" w:cs="Arial"/>
          <w:b/>
          <w:szCs w:val="22"/>
        </w:rPr>
        <w:lastRenderedPageBreak/>
        <w:t>3.2 Why should Council provide affordable rental housing?</w:t>
      </w:r>
    </w:p>
    <w:p w:rsidR="00074CBA" w:rsidRDefault="00074CBA" w:rsidP="00125881">
      <w:pPr>
        <w:jc w:val="both"/>
        <w:rPr>
          <w:rFonts w:ascii="Arial" w:hAnsi="Arial" w:cs="Arial"/>
          <w:sz w:val="22"/>
        </w:rPr>
      </w:pPr>
      <w:r w:rsidRPr="00074CBA">
        <w:rPr>
          <w:rFonts w:ascii="Arial" w:hAnsi="Arial" w:cs="Arial"/>
          <w:sz w:val="22"/>
        </w:rPr>
        <w:t>Local government’s mandate to act on affordable housing is enshrined in the Environmental Planning and Assessment Act 1979. Section 5(a)(viii) identifies that an objective of the Act is the “maintenance and provision of affordable housing.” Therefore, local government has a role and an obligation to both preserve and create more affordable housing.</w:t>
      </w:r>
      <w:r w:rsidRPr="00074CBA">
        <w:rPr>
          <w:rStyle w:val="FootnoteReference"/>
          <w:rFonts w:ascii="Arial" w:hAnsi="Arial" w:cs="Arial"/>
          <w:sz w:val="22"/>
        </w:rPr>
        <w:footnoteReference w:id="7"/>
      </w:r>
      <w:r w:rsidR="002F11EE">
        <w:rPr>
          <w:rFonts w:ascii="Arial" w:hAnsi="Arial" w:cs="Arial"/>
          <w:sz w:val="22"/>
        </w:rPr>
        <w:t xml:space="preserve"> This Policy </w:t>
      </w:r>
      <w:r w:rsidR="00934BDC">
        <w:rPr>
          <w:rFonts w:ascii="Arial" w:hAnsi="Arial" w:cs="Arial"/>
          <w:sz w:val="22"/>
        </w:rPr>
        <w:t xml:space="preserve">has been </w:t>
      </w:r>
      <w:r w:rsidR="00585F73">
        <w:rPr>
          <w:rFonts w:ascii="Arial" w:hAnsi="Arial" w:cs="Arial"/>
          <w:sz w:val="22"/>
        </w:rPr>
        <w:t xml:space="preserve">developed </w:t>
      </w:r>
      <w:r w:rsidR="002F11EE">
        <w:rPr>
          <w:rFonts w:ascii="Arial" w:hAnsi="Arial" w:cs="Arial"/>
          <w:sz w:val="22"/>
        </w:rPr>
        <w:t>to confirm Council’s commitment to the maintenance and provisi</w:t>
      </w:r>
      <w:r w:rsidR="00B71616">
        <w:rPr>
          <w:rFonts w:ascii="Arial" w:hAnsi="Arial" w:cs="Arial"/>
          <w:sz w:val="22"/>
        </w:rPr>
        <w:t xml:space="preserve">on of affordable housing for </w:t>
      </w:r>
      <w:r w:rsidR="002F11EE">
        <w:rPr>
          <w:rFonts w:ascii="Arial" w:hAnsi="Arial" w:cs="Arial"/>
          <w:sz w:val="22"/>
        </w:rPr>
        <w:t xml:space="preserve">Parramatta, and to specify the mechanisms that will be used to achieve this. </w:t>
      </w:r>
    </w:p>
    <w:p w:rsidR="0029116F" w:rsidRDefault="0029116F" w:rsidP="00125881">
      <w:pPr>
        <w:jc w:val="both"/>
        <w:rPr>
          <w:rFonts w:ascii="Arial" w:hAnsi="Arial" w:cs="Arial"/>
          <w:sz w:val="22"/>
        </w:rPr>
      </w:pPr>
    </w:p>
    <w:p w:rsidR="00DC6EFF" w:rsidRDefault="00DC6EFF" w:rsidP="00125881">
      <w:pPr>
        <w:jc w:val="both"/>
        <w:rPr>
          <w:rFonts w:ascii="Arial" w:hAnsi="Arial" w:cs="Arial"/>
          <w:sz w:val="22"/>
          <w:szCs w:val="22"/>
        </w:rPr>
      </w:pPr>
      <w:r w:rsidRPr="00DC6EFF">
        <w:rPr>
          <w:rFonts w:ascii="Arial" w:hAnsi="Arial" w:cs="Arial"/>
          <w:sz w:val="22"/>
          <w:szCs w:val="22"/>
        </w:rPr>
        <w:t xml:space="preserve">A number of other local governments are </w:t>
      </w:r>
      <w:r>
        <w:rPr>
          <w:rFonts w:ascii="Arial" w:hAnsi="Arial" w:cs="Arial"/>
          <w:sz w:val="22"/>
          <w:szCs w:val="22"/>
        </w:rPr>
        <w:t xml:space="preserve">also </w:t>
      </w:r>
      <w:r w:rsidRPr="00DC6EFF">
        <w:rPr>
          <w:rFonts w:ascii="Arial" w:hAnsi="Arial" w:cs="Arial"/>
          <w:sz w:val="22"/>
          <w:szCs w:val="22"/>
        </w:rPr>
        <w:t>working to address the issue of affordable housing. Historically, the councils in Greater Sydney that have taken the most action on the issue have been City of Sydney, Randwick and</w:t>
      </w:r>
      <w:r>
        <w:rPr>
          <w:rFonts w:ascii="Arial" w:hAnsi="Arial" w:cs="Arial"/>
          <w:sz w:val="22"/>
          <w:szCs w:val="22"/>
        </w:rPr>
        <w:t xml:space="preserve"> Canada Bay. These councils have been successful through use of the planning system to generate the delivery of affordable rental housing that has been dedicated to them at no cost.</w:t>
      </w:r>
    </w:p>
    <w:p w:rsidR="00AD2F1B" w:rsidRDefault="00AD2F1B" w:rsidP="00125881">
      <w:pPr>
        <w:jc w:val="both"/>
        <w:rPr>
          <w:rFonts w:ascii="Arial" w:hAnsi="Arial" w:cs="Arial"/>
          <w:sz w:val="22"/>
          <w:szCs w:val="22"/>
        </w:rPr>
      </w:pPr>
    </w:p>
    <w:p w:rsidR="00AD2F1B" w:rsidRDefault="00AD2F1B" w:rsidP="00125881">
      <w:pPr>
        <w:jc w:val="both"/>
        <w:rPr>
          <w:rFonts w:ascii="Arial" w:hAnsi="Arial" w:cs="Arial"/>
          <w:sz w:val="22"/>
          <w:szCs w:val="22"/>
        </w:rPr>
      </w:pPr>
    </w:p>
    <w:p w:rsidR="00AD2F1B" w:rsidRDefault="00AD2F1B" w:rsidP="00125881">
      <w:pPr>
        <w:jc w:val="both"/>
        <w:rPr>
          <w:rFonts w:ascii="Arial" w:hAnsi="Arial" w:cs="Arial"/>
          <w:sz w:val="22"/>
          <w:szCs w:val="22"/>
        </w:rPr>
      </w:pPr>
    </w:p>
    <w:p w:rsidR="00AD2F1B" w:rsidRDefault="00AD2F1B" w:rsidP="00DC6EFF">
      <w:pPr>
        <w:rPr>
          <w:rFonts w:ascii="Arial" w:hAnsi="Arial" w:cs="Arial"/>
          <w:sz w:val="22"/>
          <w:szCs w:val="22"/>
        </w:rPr>
      </w:pPr>
    </w:p>
    <w:p w:rsidR="00AD2F1B" w:rsidRDefault="00AD2F1B" w:rsidP="00DC6EFF">
      <w:pPr>
        <w:rPr>
          <w:rFonts w:ascii="Arial" w:hAnsi="Arial" w:cs="Arial"/>
          <w:sz w:val="22"/>
          <w:szCs w:val="22"/>
        </w:rPr>
      </w:pPr>
    </w:p>
    <w:p w:rsidR="00AD2F1B" w:rsidRDefault="00AD2F1B" w:rsidP="00DC6EFF">
      <w:pPr>
        <w:rPr>
          <w:rFonts w:ascii="Arial" w:hAnsi="Arial" w:cs="Arial"/>
          <w:sz w:val="22"/>
          <w:szCs w:val="22"/>
        </w:rPr>
      </w:pPr>
    </w:p>
    <w:p w:rsidR="00AD2F1B" w:rsidRDefault="00AD2F1B" w:rsidP="00DC6EFF">
      <w:pPr>
        <w:rPr>
          <w:rFonts w:ascii="Arial" w:hAnsi="Arial" w:cs="Arial"/>
          <w:sz w:val="22"/>
          <w:szCs w:val="22"/>
        </w:rPr>
      </w:pPr>
    </w:p>
    <w:p w:rsidR="00AD2F1B" w:rsidRDefault="00AD2F1B" w:rsidP="00DC6EFF">
      <w:pPr>
        <w:rPr>
          <w:rFonts w:ascii="Arial" w:hAnsi="Arial" w:cs="Arial"/>
          <w:sz w:val="22"/>
          <w:szCs w:val="22"/>
        </w:rPr>
      </w:pPr>
    </w:p>
    <w:p w:rsidR="00AD2F1B" w:rsidRDefault="00AD2F1B" w:rsidP="00DC6EFF">
      <w:pPr>
        <w:rPr>
          <w:rFonts w:ascii="Arial" w:hAnsi="Arial" w:cs="Arial"/>
          <w:sz w:val="22"/>
          <w:szCs w:val="22"/>
        </w:rPr>
      </w:pPr>
    </w:p>
    <w:p w:rsidR="000D60A7" w:rsidRDefault="000D60A7" w:rsidP="006E499F">
      <w:pPr>
        <w:pBdr>
          <w:bottom w:val="single" w:sz="4" w:space="1" w:color="auto"/>
        </w:pBdr>
        <w:rPr>
          <w:rFonts w:ascii="Arial" w:hAnsi="Arial" w:cs="Arial"/>
          <w:sz w:val="22"/>
          <w:szCs w:val="22"/>
        </w:rPr>
      </w:pPr>
    </w:p>
    <w:p w:rsidR="00976D48" w:rsidRDefault="00976D48" w:rsidP="006E499F">
      <w:pPr>
        <w:pBdr>
          <w:bottom w:val="single" w:sz="4" w:space="1" w:color="auto"/>
        </w:pBdr>
        <w:rPr>
          <w:rFonts w:ascii="Arial" w:hAnsi="Arial" w:cs="Arial"/>
          <w:sz w:val="22"/>
          <w:szCs w:val="22"/>
        </w:rPr>
      </w:pPr>
    </w:p>
    <w:p w:rsidR="00976D48" w:rsidRDefault="00976D48" w:rsidP="006E499F">
      <w:pPr>
        <w:pBdr>
          <w:bottom w:val="single" w:sz="4" w:space="1" w:color="auto"/>
        </w:pBdr>
        <w:rPr>
          <w:rFonts w:ascii="Arial" w:hAnsi="Arial" w:cs="Arial"/>
          <w:sz w:val="22"/>
          <w:szCs w:val="22"/>
        </w:rPr>
      </w:pPr>
    </w:p>
    <w:p w:rsidR="00976D48" w:rsidRDefault="00976D48" w:rsidP="006E499F">
      <w:pPr>
        <w:pBdr>
          <w:bottom w:val="single" w:sz="4" w:space="1" w:color="auto"/>
        </w:pBdr>
        <w:rPr>
          <w:rFonts w:ascii="Arial" w:hAnsi="Arial" w:cs="Arial"/>
          <w:sz w:val="22"/>
          <w:szCs w:val="22"/>
        </w:rPr>
      </w:pPr>
    </w:p>
    <w:p w:rsidR="00976D48" w:rsidRDefault="00976D48" w:rsidP="006E499F">
      <w:pPr>
        <w:pBdr>
          <w:bottom w:val="single" w:sz="4" w:space="1" w:color="auto"/>
        </w:pBdr>
        <w:rPr>
          <w:rFonts w:ascii="Arial" w:hAnsi="Arial" w:cs="Arial"/>
          <w:sz w:val="22"/>
          <w:szCs w:val="22"/>
        </w:rPr>
      </w:pPr>
    </w:p>
    <w:p w:rsidR="00976D48" w:rsidRDefault="00976D48" w:rsidP="006E499F">
      <w:pPr>
        <w:pBdr>
          <w:bottom w:val="single" w:sz="4" w:space="1" w:color="auto"/>
        </w:pBdr>
        <w:rPr>
          <w:rFonts w:ascii="Arial" w:hAnsi="Arial" w:cs="Arial"/>
          <w:sz w:val="22"/>
          <w:szCs w:val="22"/>
        </w:rPr>
      </w:pPr>
    </w:p>
    <w:p w:rsidR="00976D48" w:rsidRDefault="00976D48" w:rsidP="006E499F">
      <w:pPr>
        <w:pBdr>
          <w:bottom w:val="single" w:sz="4" w:space="1" w:color="auto"/>
        </w:pBdr>
        <w:rPr>
          <w:rFonts w:ascii="Arial" w:hAnsi="Arial" w:cs="Arial"/>
          <w:sz w:val="22"/>
          <w:szCs w:val="22"/>
        </w:rPr>
      </w:pPr>
    </w:p>
    <w:p w:rsidR="00976D48" w:rsidRDefault="00976D48" w:rsidP="006E499F">
      <w:pPr>
        <w:pBdr>
          <w:bottom w:val="single" w:sz="4" w:space="1" w:color="auto"/>
        </w:pBdr>
        <w:rPr>
          <w:rFonts w:ascii="Arial" w:hAnsi="Arial" w:cs="Arial"/>
          <w:sz w:val="22"/>
          <w:szCs w:val="22"/>
        </w:rPr>
      </w:pPr>
    </w:p>
    <w:p w:rsidR="00976D48" w:rsidRDefault="00976D48" w:rsidP="006E499F">
      <w:pPr>
        <w:pBdr>
          <w:bottom w:val="single" w:sz="4" w:space="1" w:color="auto"/>
        </w:pBdr>
        <w:rPr>
          <w:rFonts w:ascii="Arial" w:hAnsi="Arial" w:cs="Arial"/>
          <w:sz w:val="22"/>
          <w:szCs w:val="22"/>
        </w:rPr>
      </w:pPr>
    </w:p>
    <w:p w:rsidR="00976D48" w:rsidRDefault="00976D48" w:rsidP="006E499F">
      <w:pPr>
        <w:pBdr>
          <w:bottom w:val="single" w:sz="4" w:space="1" w:color="auto"/>
        </w:pBdr>
        <w:rPr>
          <w:rFonts w:ascii="Arial" w:hAnsi="Arial" w:cs="Arial"/>
          <w:sz w:val="22"/>
          <w:szCs w:val="22"/>
        </w:rPr>
      </w:pPr>
    </w:p>
    <w:p w:rsidR="00976D48" w:rsidRDefault="00976D48" w:rsidP="006E499F">
      <w:pPr>
        <w:pBdr>
          <w:bottom w:val="single" w:sz="4" w:space="1" w:color="auto"/>
        </w:pBdr>
        <w:rPr>
          <w:rFonts w:ascii="Arial" w:hAnsi="Arial" w:cs="Arial"/>
          <w:sz w:val="22"/>
          <w:szCs w:val="22"/>
        </w:rPr>
      </w:pPr>
    </w:p>
    <w:p w:rsidR="00976D48" w:rsidRDefault="00976D48" w:rsidP="006E499F">
      <w:pPr>
        <w:pBdr>
          <w:bottom w:val="single" w:sz="4" w:space="1" w:color="auto"/>
        </w:pBdr>
        <w:rPr>
          <w:rFonts w:ascii="Arial" w:hAnsi="Arial" w:cs="Arial"/>
          <w:sz w:val="22"/>
          <w:szCs w:val="22"/>
        </w:rPr>
      </w:pPr>
    </w:p>
    <w:p w:rsidR="00976D48" w:rsidRDefault="00976D48" w:rsidP="006E499F">
      <w:pPr>
        <w:pBdr>
          <w:bottom w:val="single" w:sz="4" w:space="1" w:color="auto"/>
        </w:pBdr>
        <w:rPr>
          <w:rFonts w:ascii="Arial" w:hAnsi="Arial" w:cs="Arial"/>
          <w:sz w:val="22"/>
          <w:szCs w:val="22"/>
        </w:rPr>
      </w:pPr>
    </w:p>
    <w:p w:rsidR="00B71616" w:rsidRDefault="00B71616" w:rsidP="006E499F">
      <w:pPr>
        <w:pBdr>
          <w:bottom w:val="single" w:sz="4" w:space="1" w:color="auto"/>
        </w:pBdr>
        <w:rPr>
          <w:rFonts w:ascii="Arial" w:hAnsi="Arial" w:cs="Arial"/>
          <w:sz w:val="22"/>
          <w:szCs w:val="22"/>
        </w:rPr>
      </w:pPr>
    </w:p>
    <w:p w:rsidR="00976D48" w:rsidRDefault="00976D48" w:rsidP="006E499F">
      <w:pPr>
        <w:pBdr>
          <w:bottom w:val="single" w:sz="4" w:space="1" w:color="auto"/>
        </w:pBdr>
        <w:rPr>
          <w:rFonts w:ascii="Arial" w:hAnsi="Arial" w:cs="Arial"/>
          <w:sz w:val="22"/>
          <w:szCs w:val="22"/>
        </w:rPr>
      </w:pPr>
    </w:p>
    <w:p w:rsidR="00976D48" w:rsidRDefault="00976D48" w:rsidP="006E499F">
      <w:pPr>
        <w:pBdr>
          <w:bottom w:val="single" w:sz="4" w:space="1" w:color="auto"/>
        </w:pBdr>
        <w:rPr>
          <w:rFonts w:ascii="Arial" w:hAnsi="Arial" w:cs="Arial"/>
          <w:sz w:val="22"/>
          <w:szCs w:val="22"/>
        </w:rPr>
      </w:pPr>
    </w:p>
    <w:p w:rsidR="00976D48" w:rsidRDefault="00976D48" w:rsidP="006E499F">
      <w:pPr>
        <w:pBdr>
          <w:bottom w:val="single" w:sz="4" w:space="1" w:color="auto"/>
        </w:pBdr>
        <w:rPr>
          <w:rFonts w:ascii="Arial" w:hAnsi="Arial" w:cs="Arial"/>
          <w:sz w:val="22"/>
          <w:szCs w:val="22"/>
        </w:rPr>
      </w:pPr>
    </w:p>
    <w:p w:rsidR="00976D48" w:rsidRDefault="00976D48" w:rsidP="006E499F">
      <w:pPr>
        <w:pBdr>
          <w:bottom w:val="single" w:sz="4" w:space="1" w:color="auto"/>
        </w:pBdr>
        <w:rPr>
          <w:rFonts w:ascii="Arial" w:hAnsi="Arial" w:cs="Arial"/>
          <w:sz w:val="22"/>
          <w:szCs w:val="22"/>
        </w:rPr>
      </w:pPr>
    </w:p>
    <w:p w:rsidR="00AD2F1B" w:rsidRPr="00DC6EFF" w:rsidRDefault="00AD2F1B" w:rsidP="006E499F">
      <w:pPr>
        <w:pBdr>
          <w:bottom w:val="single" w:sz="4" w:space="1" w:color="auto"/>
        </w:pBdr>
        <w:rPr>
          <w:rFonts w:ascii="Arial" w:hAnsi="Arial" w:cs="Arial"/>
          <w:sz w:val="22"/>
          <w:szCs w:val="22"/>
        </w:rPr>
      </w:pPr>
    </w:p>
    <w:p w:rsidR="006E499F" w:rsidRPr="008E10E6" w:rsidRDefault="006E499F" w:rsidP="00D16324">
      <w:pPr>
        <w:pStyle w:val="ListParagraph"/>
        <w:numPr>
          <w:ilvl w:val="0"/>
          <w:numId w:val="5"/>
        </w:numPr>
        <w:ind w:left="426" w:hanging="426"/>
        <w:jc w:val="both"/>
        <w:rPr>
          <w:rFonts w:ascii="Arial" w:hAnsi="Arial" w:cs="Arial"/>
          <w:b/>
          <w:sz w:val="28"/>
          <w:szCs w:val="22"/>
        </w:rPr>
      </w:pPr>
      <w:r w:rsidRPr="008E10E6">
        <w:rPr>
          <w:rFonts w:ascii="Arial" w:hAnsi="Arial" w:cs="Arial"/>
          <w:b/>
          <w:sz w:val="28"/>
          <w:szCs w:val="22"/>
        </w:rPr>
        <w:lastRenderedPageBreak/>
        <w:t>Policy</w:t>
      </w:r>
    </w:p>
    <w:p w:rsidR="006530CD" w:rsidRDefault="006530CD" w:rsidP="00D16324">
      <w:pPr>
        <w:jc w:val="both"/>
        <w:rPr>
          <w:rFonts w:ascii="Arial" w:hAnsi="Arial" w:cs="Arial"/>
          <w:szCs w:val="22"/>
        </w:rPr>
      </w:pPr>
    </w:p>
    <w:p w:rsidR="006530CD" w:rsidRPr="008E10E6" w:rsidRDefault="00970219" w:rsidP="00D16324">
      <w:pPr>
        <w:jc w:val="both"/>
        <w:rPr>
          <w:rFonts w:ascii="Arial" w:hAnsi="Arial" w:cs="Arial"/>
          <w:b/>
          <w:szCs w:val="22"/>
        </w:rPr>
      </w:pPr>
      <w:r w:rsidRPr="008E10E6">
        <w:rPr>
          <w:rFonts w:ascii="Arial" w:hAnsi="Arial" w:cs="Arial"/>
          <w:b/>
          <w:szCs w:val="22"/>
        </w:rPr>
        <w:t xml:space="preserve">4.1 </w:t>
      </w:r>
      <w:r w:rsidR="004A7E11" w:rsidRPr="008E10E6">
        <w:rPr>
          <w:rFonts w:ascii="Arial" w:hAnsi="Arial" w:cs="Arial"/>
          <w:b/>
          <w:szCs w:val="22"/>
        </w:rPr>
        <w:t>City of Parramatta</w:t>
      </w:r>
      <w:r w:rsidR="000D60A7" w:rsidRPr="008E10E6">
        <w:rPr>
          <w:rFonts w:ascii="Arial" w:hAnsi="Arial" w:cs="Arial"/>
          <w:b/>
          <w:szCs w:val="22"/>
        </w:rPr>
        <w:t xml:space="preserve"> Council</w:t>
      </w:r>
      <w:r w:rsidR="004A7E11" w:rsidRPr="008E10E6">
        <w:rPr>
          <w:rFonts w:ascii="Arial" w:hAnsi="Arial" w:cs="Arial"/>
          <w:b/>
          <w:szCs w:val="22"/>
        </w:rPr>
        <w:t>’s affordable housing t</w:t>
      </w:r>
      <w:r w:rsidR="006530CD" w:rsidRPr="008E10E6">
        <w:rPr>
          <w:rFonts w:ascii="Arial" w:hAnsi="Arial" w:cs="Arial"/>
          <w:b/>
          <w:szCs w:val="22"/>
        </w:rPr>
        <w:t>arget</w:t>
      </w:r>
    </w:p>
    <w:p w:rsidR="004A7E11" w:rsidRDefault="00F26DFB" w:rsidP="00D16324">
      <w:pPr>
        <w:jc w:val="both"/>
        <w:rPr>
          <w:rFonts w:ascii="Arial" w:hAnsi="Arial" w:cs="Arial"/>
          <w:sz w:val="22"/>
          <w:szCs w:val="22"/>
        </w:rPr>
      </w:pPr>
      <w:r>
        <w:rPr>
          <w:rFonts w:ascii="Arial" w:hAnsi="Arial" w:cs="Arial"/>
          <w:sz w:val="22"/>
          <w:szCs w:val="22"/>
        </w:rPr>
        <w:t xml:space="preserve">As identified in the table below, Council seeks to ensure that by 2036 City of Parramatta </w:t>
      </w:r>
      <w:r w:rsidR="004B6932">
        <w:rPr>
          <w:rFonts w:ascii="Arial" w:hAnsi="Arial" w:cs="Arial"/>
          <w:sz w:val="22"/>
          <w:szCs w:val="22"/>
        </w:rPr>
        <w:t xml:space="preserve">local government area </w:t>
      </w:r>
      <w:r>
        <w:rPr>
          <w:rFonts w:ascii="Arial" w:hAnsi="Arial" w:cs="Arial"/>
          <w:sz w:val="22"/>
          <w:szCs w:val="22"/>
        </w:rPr>
        <w:t>will provide approximately 9,500 affordable rental dwellings and that the NSW Government will provide approximately 9,100 social housing dwellings</w:t>
      </w:r>
      <w:r w:rsidRPr="00E34584">
        <w:rPr>
          <w:rFonts w:ascii="Arial" w:hAnsi="Arial" w:cs="Arial"/>
          <w:sz w:val="22"/>
          <w:szCs w:val="22"/>
        </w:rPr>
        <w:t xml:space="preserve">. At 2036, </w:t>
      </w:r>
      <w:r w:rsidR="00E34584" w:rsidRPr="00E34584">
        <w:rPr>
          <w:rFonts w:ascii="Arial" w:hAnsi="Arial" w:cs="Arial"/>
          <w:sz w:val="22"/>
          <w:szCs w:val="22"/>
        </w:rPr>
        <w:t xml:space="preserve">9,500 </w:t>
      </w:r>
      <w:r w:rsidR="004B6932">
        <w:rPr>
          <w:rFonts w:ascii="Arial" w:hAnsi="Arial" w:cs="Arial"/>
          <w:sz w:val="22"/>
          <w:szCs w:val="22"/>
        </w:rPr>
        <w:t xml:space="preserve">affordable rental </w:t>
      </w:r>
      <w:r w:rsidR="00E34584" w:rsidRPr="00E34584">
        <w:rPr>
          <w:rFonts w:ascii="Arial" w:hAnsi="Arial" w:cs="Arial"/>
          <w:sz w:val="22"/>
          <w:szCs w:val="22"/>
        </w:rPr>
        <w:t>dwellings will equate to 6.3</w:t>
      </w:r>
      <w:r w:rsidRPr="00E34584">
        <w:rPr>
          <w:rFonts w:ascii="Arial" w:hAnsi="Arial" w:cs="Arial"/>
          <w:sz w:val="22"/>
          <w:szCs w:val="22"/>
        </w:rPr>
        <w:t>% of total dwellings</w:t>
      </w:r>
      <w:r w:rsidR="00E34584" w:rsidRPr="00E34584">
        <w:rPr>
          <w:rFonts w:ascii="Arial" w:hAnsi="Arial" w:cs="Arial"/>
          <w:sz w:val="22"/>
          <w:szCs w:val="22"/>
        </w:rPr>
        <w:t>;</w:t>
      </w:r>
      <w:r w:rsidRPr="00E34584">
        <w:rPr>
          <w:rFonts w:ascii="Arial" w:hAnsi="Arial" w:cs="Arial"/>
          <w:sz w:val="22"/>
          <w:szCs w:val="22"/>
        </w:rPr>
        <w:t xml:space="preserve"> and 9,100 social housing dwellings </w:t>
      </w:r>
      <w:r w:rsidR="004B6932">
        <w:rPr>
          <w:rFonts w:ascii="Arial" w:hAnsi="Arial" w:cs="Arial"/>
          <w:sz w:val="22"/>
          <w:szCs w:val="22"/>
        </w:rPr>
        <w:t>will equate</w:t>
      </w:r>
      <w:r w:rsidR="00E34584" w:rsidRPr="00E34584">
        <w:rPr>
          <w:rFonts w:ascii="Arial" w:hAnsi="Arial" w:cs="Arial"/>
          <w:sz w:val="22"/>
          <w:szCs w:val="22"/>
        </w:rPr>
        <w:t xml:space="preserve"> to 6</w:t>
      </w:r>
      <w:r w:rsidRPr="00E34584">
        <w:rPr>
          <w:rFonts w:ascii="Arial" w:hAnsi="Arial" w:cs="Arial"/>
          <w:sz w:val="22"/>
          <w:szCs w:val="22"/>
        </w:rPr>
        <w:t>% of total dwellings.</w:t>
      </w:r>
      <w:r>
        <w:rPr>
          <w:rFonts w:ascii="Arial" w:hAnsi="Arial" w:cs="Arial"/>
          <w:sz w:val="22"/>
          <w:szCs w:val="22"/>
        </w:rPr>
        <w:t xml:space="preserve"> </w:t>
      </w:r>
    </w:p>
    <w:p w:rsidR="005E177D" w:rsidRDefault="005E177D" w:rsidP="006530CD">
      <w:pPr>
        <w:rPr>
          <w:rFonts w:ascii="Arial" w:hAnsi="Arial" w:cs="Arial"/>
          <w:sz w:val="22"/>
          <w:szCs w:val="22"/>
        </w:rPr>
      </w:pPr>
    </w:p>
    <w:p w:rsidR="00CF7F8A" w:rsidRDefault="00CF7F8A" w:rsidP="00070FE9">
      <w:pPr>
        <w:rPr>
          <w:rFonts w:ascii="Arial" w:hAnsi="Arial" w:cs="Arial"/>
          <w:sz w:val="22"/>
          <w:szCs w:val="22"/>
        </w:rPr>
      </w:pPr>
    </w:p>
    <w:tbl>
      <w:tblPr>
        <w:tblStyle w:val="TableGrid"/>
        <w:tblW w:w="0" w:type="auto"/>
        <w:tblLook w:val="04A0" w:firstRow="1" w:lastRow="0" w:firstColumn="1" w:lastColumn="0" w:noHBand="0" w:noVBand="1"/>
      </w:tblPr>
      <w:tblGrid>
        <w:gridCol w:w="1809"/>
        <w:gridCol w:w="1985"/>
        <w:gridCol w:w="2693"/>
        <w:gridCol w:w="1418"/>
        <w:gridCol w:w="1337"/>
      </w:tblGrid>
      <w:tr w:rsidR="00547F21" w:rsidRPr="00535DF1" w:rsidTr="00547F21">
        <w:trPr>
          <w:trHeight w:val="416"/>
        </w:trPr>
        <w:tc>
          <w:tcPr>
            <w:tcW w:w="9242" w:type="dxa"/>
            <w:gridSpan w:val="5"/>
            <w:shd w:val="clear" w:color="auto" w:fill="B6DDE8" w:themeFill="accent5" w:themeFillTint="66"/>
          </w:tcPr>
          <w:p w:rsidR="00547F21" w:rsidRPr="00535DF1" w:rsidRDefault="00070FE9" w:rsidP="00070FE9">
            <w:pPr>
              <w:rPr>
                <w:rFonts w:ascii="Arial" w:hAnsi="Arial" w:cs="Arial"/>
                <w:b/>
                <w:sz w:val="22"/>
                <w:szCs w:val="22"/>
              </w:rPr>
            </w:pPr>
            <w:r>
              <w:rPr>
                <w:rFonts w:ascii="Arial" w:hAnsi="Arial" w:cs="Arial"/>
                <w:b/>
                <w:sz w:val="22"/>
                <w:szCs w:val="22"/>
              </w:rPr>
              <w:t xml:space="preserve">Table 4. </w:t>
            </w:r>
            <w:r w:rsidR="00FE5BAF">
              <w:rPr>
                <w:rFonts w:ascii="Arial" w:hAnsi="Arial" w:cs="Arial"/>
                <w:b/>
                <w:sz w:val="22"/>
                <w:szCs w:val="22"/>
              </w:rPr>
              <w:t xml:space="preserve">2036 </w:t>
            </w:r>
            <w:r w:rsidR="00547F21">
              <w:rPr>
                <w:rFonts w:ascii="Arial" w:hAnsi="Arial" w:cs="Arial"/>
                <w:b/>
                <w:sz w:val="22"/>
                <w:szCs w:val="22"/>
              </w:rPr>
              <w:t>Affordable Housing Target</w:t>
            </w:r>
            <w:r w:rsidR="00FE5BAF">
              <w:rPr>
                <w:rFonts w:ascii="Arial" w:hAnsi="Arial" w:cs="Arial"/>
                <w:b/>
                <w:sz w:val="22"/>
                <w:szCs w:val="22"/>
              </w:rPr>
              <w:t>s</w:t>
            </w:r>
            <w:r w:rsidR="00547F21">
              <w:rPr>
                <w:rFonts w:ascii="Arial" w:hAnsi="Arial" w:cs="Arial"/>
                <w:b/>
                <w:sz w:val="22"/>
                <w:szCs w:val="22"/>
              </w:rPr>
              <w:t xml:space="preserve"> </w:t>
            </w:r>
            <w:r w:rsidR="00FE5BAF">
              <w:rPr>
                <w:rFonts w:ascii="Arial" w:hAnsi="Arial" w:cs="Arial"/>
                <w:b/>
                <w:sz w:val="22"/>
                <w:szCs w:val="22"/>
              </w:rPr>
              <w:t>for City of Parramatta</w:t>
            </w:r>
          </w:p>
        </w:tc>
      </w:tr>
      <w:tr w:rsidR="00547F21" w:rsidRPr="00535DF1" w:rsidTr="00CA42E3">
        <w:trPr>
          <w:trHeight w:val="416"/>
        </w:trPr>
        <w:tc>
          <w:tcPr>
            <w:tcW w:w="1809" w:type="dxa"/>
          </w:tcPr>
          <w:p w:rsidR="00547F21" w:rsidRPr="00535DF1" w:rsidRDefault="00547F21" w:rsidP="00547F21">
            <w:pPr>
              <w:rPr>
                <w:rFonts w:ascii="Arial" w:hAnsi="Arial" w:cs="Arial"/>
                <w:sz w:val="22"/>
                <w:szCs w:val="22"/>
              </w:rPr>
            </w:pPr>
          </w:p>
        </w:tc>
        <w:tc>
          <w:tcPr>
            <w:tcW w:w="1985" w:type="dxa"/>
          </w:tcPr>
          <w:p w:rsidR="00547F21" w:rsidRPr="00535DF1" w:rsidRDefault="00547F21" w:rsidP="00547F21">
            <w:pPr>
              <w:jc w:val="center"/>
              <w:rPr>
                <w:rFonts w:ascii="Arial" w:hAnsi="Arial" w:cs="Arial"/>
                <w:b/>
                <w:sz w:val="22"/>
                <w:szCs w:val="22"/>
              </w:rPr>
            </w:pPr>
            <w:r w:rsidRPr="00535DF1">
              <w:rPr>
                <w:rFonts w:ascii="Arial" w:hAnsi="Arial" w:cs="Arial"/>
                <w:b/>
                <w:sz w:val="22"/>
                <w:szCs w:val="22"/>
              </w:rPr>
              <w:t>City of Parramatta current housing supply (2016)</w:t>
            </w:r>
          </w:p>
        </w:tc>
        <w:tc>
          <w:tcPr>
            <w:tcW w:w="2693" w:type="dxa"/>
          </w:tcPr>
          <w:p w:rsidR="00547F21" w:rsidRPr="00535DF1" w:rsidRDefault="00547F21" w:rsidP="00547F21">
            <w:pPr>
              <w:jc w:val="center"/>
              <w:rPr>
                <w:rFonts w:ascii="Arial" w:hAnsi="Arial" w:cs="Arial"/>
                <w:b/>
                <w:sz w:val="22"/>
                <w:szCs w:val="22"/>
              </w:rPr>
            </w:pPr>
            <w:r w:rsidRPr="00535DF1">
              <w:rPr>
                <w:rFonts w:ascii="Arial" w:hAnsi="Arial" w:cs="Arial"/>
                <w:b/>
                <w:sz w:val="22"/>
                <w:szCs w:val="22"/>
              </w:rPr>
              <w:t>Target recommendation</w:t>
            </w:r>
          </w:p>
        </w:tc>
        <w:tc>
          <w:tcPr>
            <w:tcW w:w="1418" w:type="dxa"/>
          </w:tcPr>
          <w:p w:rsidR="00547F21" w:rsidRPr="00535DF1" w:rsidRDefault="00547F21" w:rsidP="00547F21">
            <w:pPr>
              <w:jc w:val="center"/>
              <w:rPr>
                <w:rFonts w:ascii="Arial" w:hAnsi="Arial" w:cs="Arial"/>
                <w:b/>
                <w:sz w:val="22"/>
                <w:szCs w:val="22"/>
              </w:rPr>
            </w:pPr>
            <w:r w:rsidRPr="00535DF1">
              <w:rPr>
                <w:rFonts w:ascii="Arial" w:hAnsi="Arial" w:cs="Arial"/>
                <w:b/>
                <w:sz w:val="22"/>
                <w:szCs w:val="22"/>
              </w:rPr>
              <w:t>2036 Dwellings</w:t>
            </w:r>
          </w:p>
        </w:tc>
        <w:tc>
          <w:tcPr>
            <w:tcW w:w="1337" w:type="dxa"/>
          </w:tcPr>
          <w:p w:rsidR="00547F21" w:rsidRPr="00535DF1" w:rsidRDefault="00547F21" w:rsidP="00547F21">
            <w:pPr>
              <w:jc w:val="center"/>
              <w:rPr>
                <w:rFonts w:ascii="Arial" w:hAnsi="Arial" w:cs="Arial"/>
                <w:b/>
                <w:sz w:val="22"/>
                <w:szCs w:val="22"/>
              </w:rPr>
            </w:pPr>
            <w:r w:rsidRPr="00535DF1">
              <w:rPr>
                <w:rFonts w:ascii="Arial" w:hAnsi="Arial" w:cs="Arial"/>
                <w:b/>
                <w:sz w:val="22"/>
                <w:szCs w:val="22"/>
              </w:rPr>
              <w:t># of additional dwellings required</w:t>
            </w:r>
          </w:p>
        </w:tc>
      </w:tr>
      <w:tr w:rsidR="006530CD" w:rsidRPr="00535DF1" w:rsidTr="00CA42E3">
        <w:tc>
          <w:tcPr>
            <w:tcW w:w="1809" w:type="dxa"/>
          </w:tcPr>
          <w:p w:rsidR="006530CD" w:rsidRPr="00535DF1" w:rsidRDefault="006530CD" w:rsidP="00CA42E3">
            <w:pPr>
              <w:rPr>
                <w:rFonts w:ascii="Arial" w:hAnsi="Arial" w:cs="Arial"/>
                <w:b/>
                <w:sz w:val="20"/>
                <w:szCs w:val="22"/>
              </w:rPr>
            </w:pPr>
            <w:r w:rsidRPr="00535DF1">
              <w:rPr>
                <w:rFonts w:ascii="Arial" w:hAnsi="Arial" w:cs="Arial"/>
                <w:b/>
                <w:sz w:val="20"/>
                <w:szCs w:val="22"/>
              </w:rPr>
              <w:t>Total dwellings</w:t>
            </w:r>
          </w:p>
        </w:tc>
        <w:tc>
          <w:tcPr>
            <w:tcW w:w="1985" w:type="dxa"/>
            <w:vAlign w:val="center"/>
          </w:tcPr>
          <w:p w:rsidR="006530CD" w:rsidRPr="00535DF1" w:rsidRDefault="006530CD" w:rsidP="00CA42E3">
            <w:pPr>
              <w:jc w:val="center"/>
              <w:rPr>
                <w:rFonts w:ascii="Arial" w:hAnsi="Arial" w:cs="Arial"/>
                <w:sz w:val="20"/>
                <w:szCs w:val="22"/>
              </w:rPr>
            </w:pPr>
            <w:r w:rsidRPr="00535DF1">
              <w:rPr>
                <w:rFonts w:ascii="Arial" w:hAnsi="Arial" w:cs="Arial"/>
                <w:sz w:val="20"/>
                <w:szCs w:val="22"/>
              </w:rPr>
              <w:t>87,005</w:t>
            </w:r>
          </w:p>
        </w:tc>
        <w:tc>
          <w:tcPr>
            <w:tcW w:w="2693" w:type="dxa"/>
            <w:shd w:val="clear" w:color="auto" w:fill="FFFFFF" w:themeFill="background1"/>
          </w:tcPr>
          <w:p w:rsidR="006530CD" w:rsidRPr="00535DF1" w:rsidRDefault="006530CD" w:rsidP="00CA42E3">
            <w:pPr>
              <w:rPr>
                <w:rFonts w:ascii="Arial" w:hAnsi="Arial" w:cs="Arial"/>
                <w:sz w:val="20"/>
                <w:szCs w:val="22"/>
              </w:rPr>
            </w:pPr>
            <w:r w:rsidRPr="00535DF1">
              <w:rPr>
                <w:rFonts w:ascii="Arial" w:hAnsi="Arial" w:cs="Arial"/>
                <w:sz w:val="20"/>
                <w:szCs w:val="22"/>
              </w:rPr>
              <w:t>-</w:t>
            </w:r>
          </w:p>
        </w:tc>
        <w:tc>
          <w:tcPr>
            <w:tcW w:w="1418" w:type="dxa"/>
            <w:vAlign w:val="center"/>
          </w:tcPr>
          <w:p w:rsidR="006530CD" w:rsidRPr="00535DF1" w:rsidRDefault="006530CD" w:rsidP="00CA42E3">
            <w:pPr>
              <w:jc w:val="center"/>
              <w:rPr>
                <w:rFonts w:ascii="Arial" w:hAnsi="Arial" w:cs="Arial"/>
                <w:sz w:val="20"/>
                <w:szCs w:val="22"/>
              </w:rPr>
            </w:pPr>
            <w:r w:rsidRPr="00535DF1">
              <w:rPr>
                <w:rFonts w:ascii="Arial" w:hAnsi="Arial" w:cs="Arial"/>
                <w:sz w:val="20"/>
                <w:szCs w:val="22"/>
              </w:rPr>
              <w:t>151,299</w:t>
            </w:r>
          </w:p>
          <w:p w:rsidR="006530CD" w:rsidRPr="00535DF1" w:rsidRDefault="006530CD" w:rsidP="00CA42E3">
            <w:pPr>
              <w:jc w:val="center"/>
              <w:rPr>
                <w:rFonts w:ascii="Arial" w:hAnsi="Arial" w:cs="Arial"/>
                <w:sz w:val="20"/>
                <w:szCs w:val="22"/>
              </w:rPr>
            </w:pPr>
            <w:r w:rsidRPr="00535DF1">
              <w:rPr>
                <w:rFonts w:ascii="Arial" w:hAnsi="Arial" w:cs="Arial"/>
                <w:sz w:val="20"/>
                <w:szCs w:val="22"/>
              </w:rPr>
              <w:t>(Forecast)</w:t>
            </w:r>
          </w:p>
        </w:tc>
        <w:tc>
          <w:tcPr>
            <w:tcW w:w="1337" w:type="dxa"/>
            <w:vAlign w:val="center"/>
          </w:tcPr>
          <w:p w:rsidR="006530CD" w:rsidRPr="00535DF1" w:rsidRDefault="006530CD" w:rsidP="00CA42E3">
            <w:pPr>
              <w:jc w:val="center"/>
              <w:rPr>
                <w:rFonts w:ascii="Arial" w:hAnsi="Arial" w:cs="Arial"/>
                <w:sz w:val="20"/>
                <w:szCs w:val="22"/>
              </w:rPr>
            </w:pPr>
            <w:r w:rsidRPr="00535DF1">
              <w:rPr>
                <w:rFonts w:ascii="Arial" w:hAnsi="Arial" w:cs="Arial"/>
                <w:sz w:val="20"/>
                <w:szCs w:val="22"/>
              </w:rPr>
              <w:t>+64,294</w:t>
            </w:r>
          </w:p>
        </w:tc>
      </w:tr>
      <w:tr w:rsidR="006530CD" w:rsidRPr="00535DF1" w:rsidTr="00CA42E3">
        <w:tc>
          <w:tcPr>
            <w:tcW w:w="1809" w:type="dxa"/>
          </w:tcPr>
          <w:p w:rsidR="006530CD" w:rsidRPr="00535DF1" w:rsidRDefault="006530CD" w:rsidP="00CA42E3">
            <w:pPr>
              <w:rPr>
                <w:rFonts w:ascii="Arial" w:hAnsi="Arial" w:cs="Arial"/>
                <w:b/>
                <w:sz w:val="20"/>
                <w:szCs w:val="22"/>
              </w:rPr>
            </w:pPr>
            <w:r w:rsidRPr="00535DF1">
              <w:rPr>
                <w:rFonts w:ascii="Arial" w:hAnsi="Arial" w:cs="Arial"/>
                <w:b/>
                <w:sz w:val="20"/>
                <w:szCs w:val="22"/>
              </w:rPr>
              <w:t>Affordable rental housing dwellings (CHP, Council and ARHSEPP properties)</w:t>
            </w:r>
          </w:p>
        </w:tc>
        <w:tc>
          <w:tcPr>
            <w:tcW w:w="1985" w:type="dxa"/>
            <w:vAlign w:val="center"/>
          </w:tcPr>
          <w:p w:rsidR="006530CD" w:rsidRPr="00535DF1" w:rsidRDefault="006530CD" w:rsidP="00CA42E3">
            <w:pPr>
              <w:jc w:val="center"/>
              <w:rPr>
                <w:rFonts w:ascii="Arial" w:hAnsi="Arial" w:cs="Arial"/>
                <w:sz w:val="20"/>
                <w:szCs w:val="22"/>
                <w:highlight w:val="yellow"/>
              </w:rPr>
            </w:pPr>
            <w:r w:rsidRPr="00535DF1">
              <w:rPr>
                <w:rFonts w:ascii="Arial" w:hAnsi="Arial" w:cs="Arial"/>
                <w:sz w:val="20"/>
                <w:szCs w:val="22"/>
              </w:rPr>
              <w:t>697</w:t>
            </w:r>
            <w:r>
              <w:rPr>
                <w:rStyle w:val="FootnoteReference"/>
                <w:rFonts w:ascii="Arial" w:hAnsi="Arial" w:cs="Arial"/>
                <w:sz w:val="20"/>
                <w:szCs w:val="22"/>
              </w:rPr>
              <w:footnoteReference w:id="8"/>
            </w:r>
          </w:p>
        </w:tc>
        <w:tc>
          <w:tcPr>
            <w:tcW w:w="2693" w:type="dxa"/>
          </w:tcPr>
          <w:p w:rsidR="006530CD" w:rsidRPr="00535DF1" w:rsidRDefault="006530CD" w:rsidP="00CA42E3">
            <w:pPr>
              <w:rPr>
                <w:rFonts w:ascii="Arial" w:hAnsi="Arial" w:cs="Arial"/>
                <w:sz w:val="20"/>
                <w:szCs w:val="22"/>
              </w:rPr>
            </w:pPr>
            <w:r w:rsidRPr="00535DF1">
              <w:rPr>
                <w:rFonts w:ascii="Arial" w:hAnsi="Arial" w:cs="Arial"/>
                <w:sz w:val="20"/>
                <w:szCs w:val="22"/>
              </w:rPr>
              <w:t>Provide affordable housing dwellings to meet the projected number of households who are likely to be in rental stress</w:t>
            </w:r>
            <w:r w:rsidRPr="00535DF1">
              <w:rPr>
                <w:rStyle w:val="FootnoteReference"/>
                <w:rFonts w:ascii="Arial" w:hAnsi="Arial" w:cs="Arial"/>
                <w:sz w:val="20"/>
                <w:szCs w:val="22"/>
              </w:rPr>
              <w:footnoteReference w:id="9"/>
            </w:r>
          </w:p>
        </w:tc>
        <w:tc>
          <w:tcPr>
            <w:tcW w:w="1418" w:type="dxa"/>
            <w:vAlign w:val="center"/>
          </w:tcPr>
          <w:p w:rsidR="006530CD" w:rsidRPr="00535DF1" w:rsidRDefault="006530CD" w:rsidP="00CA42E3">
            <w:pPr>
              <w:jc w:val="center"/>
              <w:rPr>
                <w:rFonts w:ascii="Arial" w:hAnsi="Arial" w:cs="Arial"/>
                <w:sz w:val="20"/>
                <w:szCs w:val="22"/>
              </w:rPr>
            </w:pPr>
            <w:r w:rsidRPr="00535DF1">
              <w:rPr>
                <w:rFonts w:ascii="Arial" w:hAnsi="Arial" w:cs="Arial"/>
                <w:sz w:val="20"/>
                <w:szCs w:val="22"/>
              </w:rPr>
              <w:t>9,487</w:t>
            </w:r>
          </w:p>
          <w:p w:rsidR="006530CD" w:rsidRPr="00535DF1" w:rsidRDefault="006530CD" w:rsidP="00CA42E3">
            <w:pPr>
              <w:jc w:val="center"/>
              <w:rPr>
                <w:rFonts w:ascii="Arial" w:hAnsi="Arial" w:cs="Arial"/>
                <w:sz w:val="20"/>
                <w:szCs w:val="22"/>
                <w:highlight w:val="yellow"/>
              </w:rPr>
            </w:pPr>
            <w:r w:rsidRPr="00535DF1">
              <w:rPr>
                <w:rFonts w:ascii="Arial" w:hAnsi="Arial" w:cs="Arial"/>
                <w:sz w:val="20"/>
                <w:szCs w:val="22"/>
              </w:rPr>
              <w:t>(Target)</w:t>
            </w:r>
          </w:p>
        </w:tc>
        <w:tc>
          <w:tcPr>
            <w:tcW w:w="1337" w:type="dxa"/>
            <w:vAlign w:val="center"/>
          </w:tcPr>
          <w:p w:rsidR="006530CD" w:rsidRPr="00535DF1" w:rsidRDefault="006530CD" w:rsidP="00CA42E3">
            <w:pPr>
              <w:jc w:val="center"/>
              <w:rPr>
                <w:rFonts w:ascii="Arial" w:hAnsi="Arial" w:cs="Arial"/>
                <w:sz w:val="20"/>
                <w:szCs w:val="22"/>
              </w:rPr>
            </w:pPr>
            <w:r w:rsidRPr="00535DF1">
              <w:rPr>
                <w:rFonts w:ascii="Arial" w:hAnsi="Arial" w:cs="Arial"/>
                <w:sz w:val="20"/>
                <w:szCs w:val="22"/>
              </w:rPr>
              <w:t>+8,790</w:t>
            </w:r>
          </w:p>
        </w:tc>
      </w:tr>
      <w:tr w:rsidR="006530CD" w:rsidRPr="00535DF1" w:rsidTr="00CA42E3">
        <w:tc>
          <w:tcPr>
            <w:tcW w:w="1809" w:type="dxa"/>
          </w:tcPr>
          <w:p w:rsidR="006530CD" w:rsidRPr="00535DF1" w:rsidRDefault="006530CD" w:rsidP="00CA42E3">
            <w:pPr>
              <w:rPr>
                <w:rFonts w:ascii="Arial" w:hAnsi="Arial" w:cs="Arial"/>
                <w:b/>
                <w:sz w:val="20"/>
                <w:szCs w:val="22"/>
              </w:rPr>
            </w:pPr>
            <w:r w:rsidRPr="00535DF1">
              <w:rPr>
                <w:rFonts w:ascii="Arial" w:hAnsi="Arial" w:cs="Arial"/>
                <w:b/>
                <w:sz w:val="20"/>
                <w:szCs w:val="22"/>
              </w:rPr>
              <w:t>Social housing dwellings</w:t>
            </w:r>
          </w:p>
        </w:tc>
        <w:tc>
          <w:tcPr>
            <w:tcW w:w="1985" w:type="dxa"/>
            <w:vAlign w:val="center"/>
          </w:tcPr>
          <w:p w:rsidR="006530CD" w:rsidRDefault="006530CD" w:rsidP="00CA42E3">
            <w:pPr>
              <w:jc w:val="center"/>
              <w:rPr>
                <w:rFonts w:ascii="Arial" w:hAnsi="Arial" w:cs="Arial"/>
                <w:sz w:val="20"/>
                <w:szCs w:val="22"/>
              </w:rPr>
            </w:pPr>
            <w:r w:rsidRPr="00535DF1">
              <w:rPr>
                <w:rFonts w:ascii="Arial" w:hAnsi="Arial" w:cs="Arial"/>
                <w:sz w:val="20"/>
                <w:szCs w:val="22"/>
              </w:rPr>
              <w:t>4,431</w:t>
            </w:r>
          </w:p>
          <w:p w:rsidR="006530CD" w:rsidRPr="00535DF1" w:rsidRDefault="006530CD" w:rsidP="00CA42E3">
            <w:pPr>
              <w:jc w:val="center"/>
              <w:rPr>
                <w:rFonts w:ascii="Arial" w:hAnsi="Arial" w:cs="Arial"/>
                <w:sz w:val="20"/>
                <w:szCs w:val="22"/>
              </w:rPr>
            </w:pPr>
            <w:r>
              <w:rPr>
                <w:rFonts w:ascii="Arial" w:hAnsi="Arial" w:cs="Arial"/>
                <w:sz w:val="20"/>
                <w:szCs w:val="22"/>
              </w:rPr>
              <w:t>(2017 figure)</w:t>
            </w:r>
          </w:p>
        </w:tc>
        <w:tc>
          <w:tcPr>
            <w:tcW w:w="2693" w:type="dxa"/>
          </w:tcPr>
          <w:p w:rsidR="006530CD" w:rsidRPr="00535DF1" w:rsidRDefault="006530CD" w:rsidP="00CA42E3">
            <w:pPr>
              <w:rPr>
                <w:rFonts w:ascii="Arial" w:hAnsi="Arial" w:cs="Arial"/>
                <w:sz w:val="20"/>
                <w:szCs w:val="22"/>
              </w:rPr>
            </w:pPr>
            <w:r w:rsidRPr="00535DF1">
              <w:rPr>
                <w:rFonts w:ascii="Arial" w:hAnsi="Arial" w:cs="Arial"/>
                <w:sz w:val="20"/>
                <w:szCs w:val="22"/>
              </w:rPr>
              <w:t>Seek to maintain</w:t>
            </w:r>
            <w:r>
              <w:rPr>
                <w:rFonts w:ascii="Arial" w:hAnsi="Arial" w:cs="Arial"/>
                <w:sz w:val="20"/>
                <w:szCs w:val="22"/>
              </w:rPr>
              <w:t xml:space="preserve"> 6</w:t>
            </w:r>
            <w:r w:rsidRPr="00535DF1">
              <w:rPr>
                <w:rFonts w:ascii="Arial" w:hAnsi="Arial" w:cs="Arial"/>
                <w:sz w:val="20"/>
                <w:szCs w:val="22"/>
              </w:rPr>
              <w:t>% share of social housing at 2036 dwelling projections</w:t>
            </w:r>
            <w:r>
              <w:rPr>
                <w:rStyle w:val="FootnoteReference"/>
                <w:rFonts w:ascii="Arial" w:hAnsi="Arial" w:cs="Arial"/>
                <w:sz w:val="20"/>
                <w:szCs w:val="22"/>
              </w:rPr>
              <w:footnoteReference w:id="10"/>
            </w:r>
          </w:p>
        </w:tc>
        <w:tc>
          <w:tcPr>
            <w:tcW w:w="1418" w:type="dxa"/>
            <w:vAlign w:val="center"/>
          </w:tcPr>
          <w:p w:rsidR="006530CD" w:rsidRPr="00535DF1" w:rsidRDefault="006530CD" w:rsidP="00CA42E3">
            <w:pPr>
              <w:jc w:val="center"/>
              <w:rPr>
                <w:rFonts w:ascii="Arial" w:hAnsi="Arial" w:cs="Arial"/>
                <w:sz w:val="20"/>
                <w:szCs w:val="22"/>
              </w:rPr>
            </w:pPr>
            <w:r>
              <w:rPr>
                <w:rFonts w:ascii="Arial" w:hAnsi="Arial" w:cs="Arial"/>
                <w:sz w:val="20"/>
                <w:szCs w:val="22"/>
              </w:rPr>
              <w:t>9,078</w:t>
            </w:r>
          </w:p>
          <w:p w:rsidR="006530CD" w:rsidRPr="00535DF1" w:rsidRDefault="006530CD" w:rsidP="00CA42E3">
            <w:pPr>
              <w:jc w:val="center"/>
              <w:rPr>
                <w:rFonts w:ascii="Arial" w:hAnsi="Arial" w:cs="Arial"/>
                <w:sz w:val="20"/>
                <w:szCs w:val="22"/>
              </w:rPr>
            </w:pPr>
            <w:r w:rsidRPr="00535DF1">
              <w:rPr>
                <w:rFonts w:ascii="Arial" w:hAnsi="Arial" w:cs="Arial"/>
                <w:sz w:val="20"/>
                <w:szCs w:val="22"/>
              </w:rPr>
              <w:t>(Target)</w:t>
            </w:r>
          </w:p>
        </w:tc>
        <w:tc>
          <w:tcPr>
            <w:tcW w:w="1337" w:type="dxa"/>
            <w:vAlign w:val="center"/>
          </w:tcPr>
          <w:p w:rsidR="006530CD" w:rsidRPr="00535DF1" w:rsidRDefault="006530CD" w:rsidP="00CA42E3">
            <w:pPr>
              <w:jc w:val="center"/>
              <w:rPr>
                <w:rFonts w:ascii="Arial" w:hAnsi="Arial" w:cs="Arial"/>
                <w:sz w:val="20"/>
                <w:szCs w:val="22"/>
              </w:rPr>
            </w:pPr>
            <w:r w:rsidRPr="00535DF1">
              <w:rPr>
                <w:rFonts w:ascii="Arial" w:hAnsi="Arial" w:cs="Arial"/>
                <w:sz w:val="20"/>
                <w:szCs w:val="22"/>
              </w:rPr>
              <w:t>+</w:t>
            </w:r>
            <w:r>
              <w:rPr>
                <w:rFonts w:ascii="Arial" w:hAnsi="Arial" w:cs="Arial"/>
                <w:sz w:val="20"/>
                <w:szCs w:val="22"/>
              </w:rPr>
              <w:t>4,647</w:t>
            </w:r>
          </w:p>
        </w:tc>
      </w:tr>
    </w:tbl>
    <w:p w:rsidR="005E177D" w:rsidRDefault="005E177D" w:rsidP="00E64AB2">
      <w:pPr>
        <w:rPr>
          <w:rFonts w:ascii="Arial" w:hAnsi="Arial" w:cs="Arial"/>
          <w:b/>
          <w:sz w:val="22"/>
          <w:szCs w:val="22"/>
        </w:rPr>
      </w:pPr>
    </w:p>
    <w:p w:rsidR="0087023D" w:rsidRPr="008E10E6" w:rsidRDefault="0087023D" w:rsidP="00D16324">
      <w:pPr>
        <w:jc w:val="both"/>
        <w:rPr>
          <w:rFonts w:ascii="Arial" w:hAnsi="Arial" w:cs="Arial"/>
          <w:b/>
          <w:szCs w:val="22"/>
        </w:rPr>
      </w:pPr>
      <w:r w:rsidRPr="008E10E6">
        <w:rPr>
          <w:rFonts w:ascii="Arial" w:hAnsi="Arial" w:cs="Arial"/>
          <w:b/>
          <w:szCs w:val="22"/>
        </w:rPr>
        <w:t xml:space="preserve">4.2 Key </w:t>
      </w:r>
      <w:r w:rsidR="004A7E11" w:rsidRPr="008E10E6">
        <w:rPr>
          <w:rFonts w:ascii="Arial" w:hAnsi="Arial" w:cs="Arial"/>
          <w:b/>
          <w:szCs w:val="22"/>
        </w:rPr>
        <w:t>p</w:t>
      </w:r>
      <w:r w:rsidRPr="008E10E6">
        <w:rPr>
          <w:rFonts w:ascii="Arial" w:hAnsi="Arial" w:cs="Arial"/>
          <w:b/>
          <w:szCs w:val="22"/>
        </w:rPr>
        <w:t xml:space="preserve">olicy </w:t>
      </w:r>
      <w:r w:rsidR="004A7E11" w:rsidRPr="008E10E6">
        <w:rPr>
          <w:rFonts w:ascii="Arial" w:hAnsi="Arial" w:cs="Arial"/>
          <w:b/>
          <w:szCs w:val="22"/>
        </w:rPr>
        <w:t>a</w:t>
      </w:r>
      <w:r w:rsidRPr="008E10E6">
        <w:rPr>
          <w:rFonts w:ascii="Arial" w:hAnsi="Arial" w:cs="Arial"/>
          <w:b/>
          <w:szCs w:val="22"/>
        </w:rPr>
        <w:t>ctions</w:t>
      </w:r>
    </w:p>
    <w:p w:rsidR="009B0257" w:rsidRDefault="009B0257" w:rsidP="00D16324">
      <w:pPr>
        <w:jc w:val="both"/>
        <w:rPr>
          <w:rFonts w:ascii="Arial" w:hAnsi="Arial" w:cs="Arial"/>
          <w:sz w:val="22"/>
          <w:szCs w:val="22"/>
        </w:rPr>
      </w:pPr>
      <w:r w:rsidRPr="00621AE1">
        <w:rPr>
          <w:rFonts w:ascii="Arial" w:hAnsi="Arial" w:cs="Arial"/>
          <w:sz w:val="22"/>
          <w:szCs w:val="22"/>
        </w:rPr>
        <w:t xml:space="preserve">This Policy will seek to address </w:t>
      </w:r>
      <w:r w:rsidR="00B71616">
        <w:rPr>
          <w:rFonts w:ascii="Arial" w:hAnsi="Arial" w:cs="Arial"/>
          <w:sz w:val="22"/>
          <w:szCs w:val="22"/>
        </w:rPr>
        <w:t>affordable housing provisio</w:t>
      </w:r>
      <w:r w:rsidR="00CE11C1">
        <w:rPr>
          <w:rFonts w:ascii="Arial" w:hAnsi="Arial" w:cs="Arial"/>
          <w:sz w:val="22"/>
          <w:szCs w:val="22"/>
        </w:rPr>
        <w:t>n</w:t>
      </w:r>
      <w:r w:rsidRPr="00621AE1">
        <w:rPr>
          <w:rFonts w:ascii="Arial" w:hAnsi="Arial" w:cs="Arial"/>
          <w:sz w:val="22"/>
          <w:szCs w:val="22"/>
        </w:rPr>
        <w:t xml:space="preserve"> by undertaking the following actio</w:t>
      </w:r>
      <w:r w:rsidR="00282F24">
        <w:rPr>
          <w:rFonts w:ascii="Arial" w:hAnsi="Arial" w:cs="Arial"/>
          <w:sz w:val="22"/>
          <w:szCs w:val="22"/>
        </w:rPr>
        <w:t xml:space="preserve">ns. These actions are divided into three </w:t>
      </w:r>
      <w:r w:rsidRPr="00621AE1">
        <w:rPr>
          <w:rFonts w:ascii="Arial" w:hAnsi="Arial" w:cs="Arial"/>
          <w:sz w:val="22"/>
          <w:szCs w:val="22"/>
        </w:rPr>
        <w:t>categories:</w:t>
      </w:r>
      <w:r w:rsidR="00620C8D">
        <w:rPr>
          <w:rFonts w:ascii="Arial" w:hAnsi="Arial" w:cs="Arial"/>
          <w:sz w:val="22"/>
          <w:szCs w:val="22"/>
        </w:rPr>
        <w:t xml:space="preserve"> advocacy, facilitating development, and enabling. </w:t>
      </w:r>
    </w:p>
    <w:p w:rsidR="00F53917" w:rsidRDefault="00F53917" w:rsidP="00D16324">
      <w:pPr>
        <w:jc w:val="both"/>
        <w:rPr>
          <w:rFonts w:ascii="Arial" w:hAnsi="Arial" w:cs="Arial"/>
          <w:sz w:val="22"/>
          <w:szCs w:val="22"/>
          <w:lang w:eastAsia="en-AU"/>
        </w:rPr>
      </w:pPr>
    </w:p>
    <w:p w:rsidR="00976D48" w:rsidRDefault="00976D48" w:rsidP="00D16324">
      <w:pPr>
        <w:jc w:val="both"/>
        <w:rPr>
          <w:rFonts w:ascii="Arial" w:hAnsi="Arial" w:cs="Arial"/>
          <w:b/>
          <w:sz w:val="22"/>
          <w:szCs w:val="22"/>
        </w:rPr>
      </w:pPr>
    </w:p>
    <w:p w:rsidR="00976D48" w:rsidRDefault="00976D48" w:rsidP="00D16324">
      <w:pPr>
        <w:jc w:val="both"/>
        <w:rPr>
          <w:rFonts w:ascii="Arial" w:hAnsi="Arial" w:cs="Arial"/>
          <w:b/>
          <w:sz w:val="22"/>
          <w:szCs w:val="22"/>
        </w:rPr>
      </w:pPr>
    </w:p>
    <w:p w:rsidR="00976D48" w:rsidRDefault="00976D48" w:rsidP="00572BE0">
      <w:pPr>
        <w:rPr>
          <w:rFonts w:ascii="Arial" w:hAnsi="Arial" w:cs="Arial"/>
          <w:b/>
          <w:sz w:val="22"/>
          <w:szCs w:val="22"/>
        </w:rPr>
      </w:pPr>
    </w:p>
    <w:p w:rsidR="00976D48" w:rsidRDefault="00976D48" w:rsidP="00572BE0">
      <w:pPr>
        <w:rPr>
          <w:rFonts w:ascii="Arial" w:hAnsi="Arial" w:cs="Arial"/>
          <w:b/>
          <w:sz w:val="22"/>
          <w:szCs w:val="22"/>
        </w:rPr>
      </w:pPr>
    </w:p>
    <w:p w:rsidR="00976D48" w:rsidRDefault="00976D48" w:rsidP="00572BE0">
      <w:pPr>
        <w:rPr>
          <w:rFonts w:ascii="Arial" w:hAnsi="Arial" w:cs="Arial"/>
          <w:b/>
          <w:sz w:val="22"/>
          <w:szCs w:val="22"/>
        </w:rPr>
      </w:pPr>
    </w:p>
    <w:p w:rsidR="00976D48" w:rsidRDefault="00976D48" w:rsidP="00572BE0">
      <w:pPr>
        <w:rPr>
          <w:rFonts w:ascii="Arial" w:hAnsi="Arial" w:cs="Arial"/>
          <w:b/>
          <w:sz w:val="22"/>
          <w:szCs w:val="22"/>
        </w:rPr>
      </w:pPr>
    </w:p>
    <w:p w:rsidR="00976D48" w:rsidRDefault="00976D48" w:rsidP="00572BE0">
      <w:pPr>
        <w:rPr>
          <w:rFonts w:ascii="Arial" w:hAnsi="Arial" w:cs="Arial"/>
          <w:b/>
          <w:sz w:val="22"/>
          <w:szCs w:val="22"/>
        </w:rPr>
      </w:pPr>
    </w:p>
    <w:p w:rsidR="00976D48" w:rsidRDefault="00976D48" w:rsidP="00572BE0">
      <w:pPr>
        <w:rPr>
          <w:rFonts w:ascii="Arial" w:hAnsi="Arial" w:cs="Arial"/>
          <w:b/>
          <w:sz w:val="22"/>
          <w:szCs w:val="22"/>
        </w:rPr>
      </w:pPr>
    </w:p>
    <w:p w:rsidR="00FF7FF3" w:rsidRDefault="008E10E6" w:rsidP="00572BE0">
      <w:pPr>
        <w:rPr>
          <w:rFonts w:ascii="Arial" w:hAnsi="Arial" w:cs="Arial"/>
          <w:b/>
          <w:sz w:val="22"/>
          <w:szCs w:val="22"/>
        </w:rPr>
      </w:pPr>
      <w:r>
        <w:rPr>
          <w:rFonts w:ascii="Arial" w:hAnsi="Arial" w:cs="Arial"/>
          <w:b/>
          <w:sz w:val="22"/>
          <w:szCs w:val="22"/>
        </w:rPr>
        <w:lastRenderedPageBreak/>
        <w:t xml:space="preserve">4.2.1 </w:t>
      </w:r>
      <w:r w:rsidR="00620C8D">
        <w:rPr>
          <w:rFonts w:ascii="Arial" w:hAnsi="Arial" w:cs="Arial"/>
          <w:b/>
          <w:sz w:val="22"/>
          <w:szCs w:val="22"/>
        </w:rPr>
        <w:t>Advocacy</w:t>
      </w:r>
    </w:p>
    <w:p w:rsidR="008E10E6" w:rsidRDefault="008E10E6" w:rsidP="00572BE0">
      <w:pPr>
        <w:rPr>
          <w:rFonts w:ascii="Arial" w:hAnsi="Arial" w:cs="Arial"/>
          <w:b/>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3207"/>
        <w:gridCol w:w="2909"/>
      </w:tblGrid>
      <w:tr w:rsidR="00620C8D" w:rsidTr="008939A8">
        <w:trPr>
          <w:jc w:val="center"/>
        </w:trPr>
        <w:tc>
          <w:tcPr>
            <w:tcW w:w="3206" w:type="dxa"/>
          </w:tcPr>
          <w:p w:rsidR="00620C8D" w:rsidRDefault="00620C8D" w:rsidP="008939A8">
            <w:pPr>
              <w:rPr>
                <w:rFonts w:ascii="Arial" w:hAnsi="Arial" w:cs="Arial"/>
                <w:color w:val="FF0000"/>
                <w:sz w:val="22"/>
                <w:szCs w:val="22"/>
              </w:rPr>
            </w:pPr>
            <w:r>
              <w:rPr>
                <w:rFonts w:ascii="Arial" w:hAnsi="Arial" w:cs="Arial"/>
                <w:noProof/>
                <w:color w:val="FF0000"/>
                <w:sz w:val="22"/>
                <w:szCs w:val="22"/>
                <w:lang w:val="en-AU" w:eastAsia="en-AU"/>
              </w:rPr>
              <mc:AlternateContent>
                <mc:Choice Requires="wps">
                  <w:drawing>
                    <wp:anchor distT="0" distB="0" distL="114300" distR="114300" simplePos="0" relativeHeight="251685888" behindDoc="0" locked="0" layoutInCell="1" allowOverlap="1" wp14:anchorId="1B569A43" wp14:editId="6468BD13">
                      <wp:simplePos x="0" y="0"/>
                      <wp:positionH relativeFrom="column">
                        <wp:posOffset>1408</wp:posOffset>
                      </wp:positionH>
                      <wp:positionV relativeFrom="paragraph">
                        <wp:posOffset>13666</wp:posOffset>
                      </wp:positionV>
                      <wp:extent cx="1693628" cy="970059"/>
                      <wp:effectExtent l="0" t="0" r="20955" b="20955"/>
                      <wp:wrapNone/>
                      <wp:docPr id="10" name="Rounded Rectangle 10"/>
                      <wp:cNvGraphicFramePr/>
                      <a:graphic xmlns:a="http://schemas.openxmlformats.org/drawingml/2006/main">
                        <a:graphicData uri="http://schemas.microsoft.com/office/word/2010/wordprocessingShape">
                          <wps:wsp>
                            <wps:cNvSpPr/>
                            <wps:spPr>
                              <a:xfrm>
                                <a:off x="0" y="0"/>
                                <a:ext cx="1693628" cy="97005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3717" w:rsidRPr="00E07727" w:rsidRDefault="00B53717" w:rsidP="00620C8D">
                                  <w:pPr>
                                    <w:rPr>
                                      <w:rFonts w:ascii="Arial" w:hAnsi="Arial" w:cs="Arial"/>
                                      <w:sz w:val="20"/>
                                      <w:lang w:val="en-AU"/>
                                    </w:rPr>
                                  </w:pPr>
                                  <w:r>
                                    <w:rPr>
                                      <w:rFonts w:ascii="Arial" w:hAnsi="Arial" w:cs="Arial"/>
                                      <w:b/>
                                      <w:bCs/>
                                      <w:sz w:val="20"/>
                                      <w:lang w:val="en-AU"/>
                                    </w:rPr>
                                    <w:t xml:space="preserve">1. </w:t>
                                  </w:r>
                                  <w:r w:rsidRPr="00E07727">
                                    <w:rPr>
                                      <w:rFonts w:ascii="Arial" w:hAnsi="Arial" w:cs="Arial"/>
                                      <w:b/>
                                      <w:bCs/>
                                      <w:sz w:val="20"/>
                                      <w:lang w:val="en-AU"/>
                                    </w:rPr>
                                    <w:t>Advocate for Federal Tax Reform</w:t>
                                  </w:r>
                                </w:p>
                                <w:p w:rsidR="00B53717" w:rsidRDefault="00B53717" w:rsidP="00620C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569A43" id="Rounded Rectangle 10" o:spid="_x0000_s1026" style="position:absolute;margin-left:.1pt;margin-top:1.1pt;width:133.35pt;height:7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" fillcolor="#4f81bd [3204]" strokecolor="#243f60 [1604]" strokeweight="2pt">
                      <v:textbox>
                        <w:txbxContent>
                          <w:p w:rsidR="00B53717" w:rsidRPr="00E07727" w:rsidRDefault="00B53717" w:rsidP="00620C8D">
                            <w:pPr>
                              <w:rPr>
                                <w:rFonts w:ascii="Arial" w:hAnsi="Arial" w:cs="Arial"/>
                                <w:sz w:val="20"/>
                                <w:lang w:val="en-AU"/>
                              </w:rPr>
                            </w:pPr>
                            <w:r>
                              <w:rPr>
                                <w:rFonts w:ascii="Arial" w:hAnsi="Arial" w:cs="Arial"/>
                                <w:b/>
                                <w:bCs/>
                                <w:sz w:val="20"/>
                                <w:lang w:val="en-AU"/>
                              </w:rPr>
                              <w:t xml:space="preserve">1. </w:t>
                            </w:r>
                            <w:r w:rsidRPr="00E07727">
                              <w:rPr>
                                <w:rFonts w:ascii="Arial" w:hAnsi="Arial" w:cs="Arial"/>
                                <w:b/>
                                <w:bCs/>
                                <w:sz w:val="20"/>
                                <w:lang w:val="en-AU"/>
                              </w:rPr>
                              <w:t>Advocate for Federal Tax Reform</w:t>
                            </w:r>
                          </w:p>
                          <w:p w:rsidR="00B53717" w:rsidRDefault="00B53717" w:rsidP="00620C8D">
                            <w:pPr>
                              <w:jc w:val="center"/>
                            </w:pPr>
                          </w:p>
                        </w:txbxContent>
                      </v:textbox>
                    </v:roundrect>
                  </w:pict>
                </mc:Fallback>
              </mc:AlternateContent>
            </w:r>
          </w:p>
          <w:p w:rsidR="00620C8D" w:rsidRDefault="00620C8D" w:rsidP="008939A8">
            <w:pPr>
              <w:rPr>
                <w:rFonts w:ascii="Arial" w:hAnsi="Arial" w:cs="Arial"/>
                <w:color w:val="FF0000"/>
                <w:sz w:val="22"/>
                <w:szCs w:val="22"/>
              </w:rPr>
            </w:pPr>
          </w:p>
          <w:p w:rsidR="00620C8D" w:rsidRDefault="00620C8D" w:rsidP="008939A8">
            <w:pPr>
              <w:rPr>
                <w:rFonts w:ascii="Arial" w:hAnsi="Arial" w:cs="Arial"/>
                <w:color w:val="FF0000"/>
                <w:sz w:val="22"/>
                <w:szCs w:val="22"/>
              </w:rPr>
            </w:pPr>
          </w:p>
          <w:p w:rsidR="00620C8D" w:rsidRDefault="00620C8D" w:rsidP="008939A8">
            <w:pPr>
              <w:rPr>
                <w:rFonts w:ascii="Arial" w:hAnsi="Arial" w:cs="Arial"/>
                <w:color w:val="FF0000"/>
                <w:sz w:val="22"/>
                <w:szCs w:val="22"/>
              </w:rPr>
            </w:pPr>
          </w:p>
          <w:p w:rsidR="00620C8D" w:rsidRDefault="00620C8D" w:rsidP="008939A8">
            <w:pPr>
              <w:rPr>
                <w:rFonts w:ascii="Arial" w:hAnsi="Arial" w:cs="Arial"/>
                <w:color w:val="FF0000"/>
                <w:sz w:val="22"/>
                <w:szCs w:val="22"/>
              </w:rPr>
            </w:pPr>
          </w:p>
          <w:p w:rsidR="00976D48" w:rsidRDefault="00976D48" w:rsidP="008939A8">
            <w:pPr>
              <w:rPr>
                <w:rFonts w:ascii="Arial" w:hAnsi="Arial" w:cs="Arial"/>
                <w:color w:val="FF0000"/>
                <w:sz w:val="22"/>
                <w:szCs w:val="22"/>
              </w:rPr>
            </w:pPr>
          </w:p>
          <w:p w:rsidR="00976D48" w:rsidRDefault="00976D48" w:rsidP="008939A8">
            <w:pPr>
              <w:rPr>
                <w:rFonts w:ascii="Arial" w:hAnsi="Arial" w:cs="Arial"/>
                <w:color w:val="FF0000"/>
                <w:sz w:val="22"/>
                <w:szCs w:val="22"/>
              </w:rPr>
            </w:pPr>
          </w:p>
        </w:tc>
        <w:tc>
          <w:tcPr>
            <w:tcW w:w="3207" w:type="dxa"/>
          </w:tcPr>
          <w:p w:rsidR="00620C8D" w:rsidRDefault="00620C8D" w:rsidP="008939A8">
            <w:pPr>
              <w:rPr>
                <w:rFonts w:ascii="Arial" w:hAnsi="Arial" w:cs="Arial"/>
                <w:color w:val="FF0000"/>
                <w:sz w:val="22"/>
                <w:szCs w:val="22"/>
              </w:rPr>
            </w:pPr>
            <w:r>
              <w:rPr>
                <w:rFonts w:ascii="Arial" w:hAnsi="Arial" w:cs="Arial"/>
                <w:noProof/>
                <w:color w:val="FF0000"/>
                <w:sz w:val="22"/>
                <w:szCs w:val="22"/>
                <w:lang w:val="en-AU" w:eastAsia="en-AU"/>
              </w:rPr>
              <mc:AlternateContent>
                <mc:Choice Requires="wps">
                  <w:drawing>
                    <wp:anchor distT="0" distB="0" distL="114300" distR="114300" simplePos="0" relativeHeight="251686912" behindDoc="0" locked="0" layoutInCell="1" allowOverlap="1" wp14:anchorId="212A7FB6" wp14:editId="76721B9E">
                      <wp:simplePos x="0" y="0"/>
                      <wp:positionH relativeFrom="column">
                        <wp:posOffset>-6350</wp:posOffset>
                      </wp:positionH>
                      <wp:positionV relativeFrom="paragraph">
                        <wp:posOffset>5715</wp:posOffset>
                      </wp:positionV>
                      <wp:extent cx="1693628" cy="970059"/>
                      <wp:effectExtent l="0" t="0" r="20955" b="20955"/>
                      <wp:wrapNone/>
                      <wp:docPr id="12" name="Rounded Rectangle 12"/>
                      <wp:cNvGraphicFramePr/>
                      <a:graphic xmlns:a="http://schemas.openxmlformats.org/drawingml/2006/main">
                        <a:graphicData uri="http://schemas.microsoft.com/office/word/2010/wordprocessingShape">
                          <wps:wsp>
                            <wps:cNvSpPr/>
                            <wps:spPr>
                              <a:xfrm>
                                <a:off x="0" y="0"/>
                                <a:ext cx="1693628" cy="97005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3717" w:rsidRPr="00E07727" w:rsidRDefault="00B53717" w:rsidP="00620C8D">
                                  <w:pPr>
                                    <w:rPr>
                                      <w:rFonts w:ascii="Arial" w:hAnsi="Arial" w:cs="Arial"/>
                                      <w:sz w:val="20"/>
                                      <w:lang w:val="en-AU"/>
                                    </w:rPr>
                                  </w:pPr>
                                  <w:r>
                                    <w:rPr>
                                      <w:rFonts w:ascii="Arial" w:hAnsi="Arial" w:cs="Arial"/>
                                      <w:b/>
                                      <w:bCs/>
                                      <w:sz w:val="20"/>
                                      <w:lang w:val="en-AU"/>
                                    </w:rPr>
                                    <w:t xml:space="preserve">2. </w:t>
                                  </w:r>
                                  <w:r w:rsidRPr="00E07727">
                                    <w:rPr>
                                      <w:rFonts w:ascii="Arial" w:hAnsi="Arial" w:cs="Arial"/>
                                      <w:b/>
                                      <w:bCs/>
                                      <w:sz w:val="20"/>
                                      <w:lang w:val="en-AU"/>
                                    </w:rPr>
                                    <w:t>Advocate for State Tax Reform</w:t>
                                  </w:r>
                                </w:p>
                                <w:p w:rsidR="00B53717" w:rsidRDefault="00B53717" w:rsidP="00620C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A7FB6" id="Rounded Rectangle 12" o:spid="_x0000_s1027" style="position:absolute;margin-left:-.5pt;margin-top:.45pt;width:133.35pt;height:76.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" fillcolor="#4f81bd [3204]" strokecolor="#243f60 [1604]" strokeweight="2pt">
                      <v:textbox>
                        <w:txbxContent>
                          <w:p w:rsidR="00B53717" w:rsidRPr="00E07727" w:rsidRDefault="00B53717" w:rsidP="00620C8D">
                            <w:pPr>
                              <w:rPr>
                                <w:rFonts w:ascii="Arial" w:hAnsi="Arial" w:cs="Arial"/>
                                <w:sz w:val="20"/>
                                <w:lang w:val="en-AU"/>
                              </w:rPr>
                            </w:pPr>
                            <w:r>
                              <w:rPr>
                                <w:rFonts w:ascii="Arial" w:hAnsi="Arial" w:cs="Arial"/>
                                <w:b/>
                                <w:bCs/>
                                <w:sz w:val="20"/>
                                <w:lang w:val="en-AU"/>
                              </w:rPr>
                              <w:t xml:space="preserve">2. </w:t>
                            </w:r>
                            <w:r w:rsidRPr="00E07727">
                              <w:rPr>
                                <w:rFonts w:ascii="Arial" w:hAnsi="Arial" w:cs="Arial"/>
                                <w:b/>
                                <w:bCs/>
                                <w:sz w:val="20"/>
                                <w:lang w:val="en-AU"/>
                              </w:rPr>
                              <w:t>Advocate for State Tax Reform</w:t>
                            </w:r>
                          </w:p>
                          <w:p w:rsidR="00B53717" w:rsidRDefault="00B53717" w:rsidP="00620C8D">
                            <w:pPr>
                              <w:jc w:val="center"/>
                            </w:pPr>
                          </w:p>
                        </w:txbxContent>
                      </v:textbox>
                    </v:roundrect>
                  </w:pict>
                </mc:Fallback>
              </mc:AlternateContent>
            </w:r>
          </w:p>
        </w:tc>
        <w:tc>
          <w:tcPr>
            <w:tcW w:w="2909" w:type="dxa"/>
          </w:tcPr>
          <w:p w:rsidR="00620C8D" w:rsidRDefault="00620C8D" w:rsidP="008939A8">
            <w:pPr>
              <w:rPr>
                <w:rFonts w:ascii="Arial" w:hAnsi="Arial" w:cs="Arial"/>
                <w:color w:val="FF0000"/>
                <w:sz w:val="22"/>
                <w:szCs w:val="22"/>
              </w:rPr>
            </w:pPr>
            <w:r>
              <w:rPr>
                <w:rFonts w:ascii="Arial" w:hAnsi="Arial" w:cs="Arial"/>
                <w:noProof/>
                <w:color w:val="FF0000"/>
                <w:sz w:val="22"/>
                <w:szCs w:val="22"/>
                <w:lang w:val="en-AU" w:eastAsia="en-AU"/>
              </w:rPr>
              <mc:AlternateContent>
                <mc:Choice Requires="wps">
                  <w:drawing>
                    <wp:anchor distT="0" distB="0" distL="114300" distR="114300" simplePos="0" relativeHeight="251687936" behindDoc="0" locked="0" layoutInCell="1" allowOverlap="1" wp14:anchorId="129A6693" wp14:editId="485DD7B7">
                      <wp:simplePos x="0" y="0"/>
                      <wp:positionH relativeFrom="column">
                        <wp:posOffset>635</wp:posOffset>
                      </wp:positionH>
                      <wp:positionV relativeFrom="paragraph">
                        <wp:posOffset>5715</wp:posOffset>
                      </wp:positionV>
                      <wp:extent cx="1693628" cy="970059"/>
                      <wp:effectExtent l="0" t="0" r="20955" b="20955"/>
                      <wp:wrapNone/>
                      <wp:docPr id="13" name="Rounded Rectangle 13"/>
                      <wp:cNvGraphicFramePr/>
                      <a:graphic xmlns:a="http://schemas.openxmlformats.org/drawingml/2006/main">
                        <a:graphicData uri="http://schemas.microsoft.com/office/word/2010/wordprocessingShape">
                          <wps:wsp>
                            <wps:cNvSpPr/>
                            <wps:spPr>
                              <a:xfrm>
                                <a:off x="0" y="0"/>
                                <a:ext cx="1693628" cy="97005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3717" w:rsidRPr="00E07727" w:rsidRDefault="00B53717" w:rsidP="00620C8D">
                                  <w:pPr>
                                    <w:rPr>
                                      <w:rFonts w:ascii="Arial" w:hAnsi="Arial" w:cs="Arial"/>
                                      <w:sz w:val="20"/>
                                      <w:lang w:val="en-AU"/>
                                    </w:rPr>
                                  </w:pPr>
                                  <w:r>
                                    <w:rPr>
                                      <w:rFonts w:ascii="Arial" w:hAnsi="Arial" w:cs="Arial"/>
                                      <w:b/>
                                      <w:bCs/>
                                      <w:sz w:val="20"/>
                                      <w:lang w:val="en-AU"/>
                                    </w:rPr>
                                    <w:t xml:space="preserve">3. </w:t>
                                  </w:r>
                                  <w:r w:rsidRPr="00E07727">
                                    <w:rPr>
                                      <w:rFonts w:ascii="Arial" w:hAnsi="Arial" w:cs="Arial"/>
                                      <w:b/>
                                      <w:bCs/>
                                      <w:sz w:val="20"/>
                                      <w:lang w:val="en-AU"/>
                                    </w:rPr>
                                    <w:t>Advocate</w:t>
                                  </w:r>
                                  <w:r>
                                    <w:rPr>
                                      <w:rFonts w:ascii="Arial" w:hAnsi="Arial" w:cs="Arial"/>
                                      <w:b/>
                                      <w:bCs/>
                                      <w:sz w:val="20"/>
                                      <w:lang w:val="en-AU"/>
                                    </w:rPr>
                                    <w:t xml:space="preserve"> to NSW Government</w:t>
                                  </w:r>
                                  <w:r w:rsidRPr="00E07727">
                                    <w:rPr>
                                      <w:rFonts w:ascii="Arial" w:hAnsi="Arial" w:cs="Arial"/>
                                      <w:b/>
                                      <w:bCs/>
                                      <w:sz w:val="20"/>
                                      <w:lang w:val="en-AU"/>
                                    </w:rPr>
                                    <w:t xml:space="preserve"> for more social housing</w:t>
                                  </w:r>
                                </w:p>
                                <w:p w:rsidR="00B53717" w:rsidRDefault="00B53717" w:rsidP="00620C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A6693" id="Rounded Rectangle 13" o:spid="_x0000_s1028" style="position:absolute;margin-left:.05pt;margin-top:.45pt;width:133.35pt;height:7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" fillcolor="#4f81bd [3204]" strokecolor="#243f60 [1604]" strokeweight="2pt">
                      <v:textbox>
                        <w:txbxContent>
                          <w:p w:rsidR="00B53717" w:rsidRPr="00E07727" w:rsidRDefault="00B53717" w:rsidP="00620C8D">
                            <w:pPr>
                              <w:rPr>
                                <w:rFonts w:ascii="Arial" w:hAnsi="Arial" w:cs="Arial"/>
                                <w:sz w:val="20"/>
                                <w:lang w:val="en-AU"/>
                              </w:rPr>
                            </w:pPr>
                            <w:r>
                              <w:rPr>
                                <w:rFonts w:ascii="Arial" w:hAnsi="Arial" w:cs="Arial"/>
                                <w:b/>
                                <w:bCs/>
                                <w:sz w:val="20"/>
                                <w:lang w:val="en-AU"/>
                              </w:rPr>
                              <w:t xml:space="preserve">3. </w:t>
                            </w:r>
                            <w:r w:rsidRPr="00E07727">
                              <w:rPr>
                                <w:rFonts w:ascii="Arial" w:hAnsi="Arial" w:cs="Arial"/>
                                <w:b/>
                                <w:bCs/>
                                <w:sz w:val="20"/>
                                <w:lang w:val="en-AU"/>
                              </w:rPr>
                              <w:t>Advocate</w:t>
                            </w:r>
                            <w:r>
                              <w:rPr>
                                <w:rFonts w:ascii="Arial" w:hAnsi="Arial" w:cs="Arial"/>
                                <w:b/>
                                <w:bCs/>
                                <w:sz w:val="20"/>
                                <w:lang w:val="en-AU"/>
                              </w:rPr>
                              <w:t xml:space="preserve"> to NSW Government</w:t>
                            </w:r>
                            <w:r w:rsidRPr="00E07727">
                              <w:rPr>
                                <w:rFonts w:ascii="Arial" w:hAnsi="Arial" w:cs="Arial"/>
                                <w:b/>
                                <w:bCs/>
                                <w:sz w:val="20"/>
                                <w:lang w:val="en-AU"/>
                              </w:rPr>
                              <w:t xml:space="preserve"> for more social housing</w:t>
                            </w:r>
                          </w:p>
                          <w:p w:rsidR="00B53717" w:rsidRDefault="00B53717" w:rsidP="00620C8D">
                            <w:pPr>
                              <w:jc w:val="center"/>
                            </w:pPr>
                          </w:p>
                        </w:txbxContent>
                      </v:textbox>
                    </v:roundrect>
                  </w:pict>
                </mc:Fallback>
              </mc:AlternateContent>
            </w:r>
          </w:p>
        </w:tc>
      </w:tr>
    </w:tbl>
    <w:p w:rsidR="00620C8D" w:rsidRDefault="00620C8D" w:rsidP="00572BE0">
      <w:pPr>
        <w:rPr>
          <w:rFonts w:ascii="Arial" w:hAnsi="Arial" w:cs="Arial"/>
          <w:b/>
          <w:sz w:val="22"/>
          <w:szCs w:val="22"/>
        </w:rPr>
      </w:pPr>
    </w:p>
    <w:p w:rsidR="003F51BA" w:rsidRDefault="008E10E6" w:rsidP="00D16324">
      <w:pPr>
        <w:ind w:firstLine="720"/>
        <w:jc w:val="both"/>
        <w:rPr>
          <w:rFonts w:ascii="Arial" w:hAnsi="Arial" w:cs="Arial"/>
          <w:b/>
          <w:sz w:val="22"/>
          <w:szCs w:val="22"/>
        </w:rPr>
      </w:pPr>
      <w:r>
        <w:rPr>
          <w:rFonts w:ascii="Arial" w:hAnsi="Arial" w:cs="Arial"/>
          <w:b/>
          <w:sz w:val="22"/>
          <w:szCs w:val="22"/>
        </w:rPr>
        <w:t>Action 1.</w:t>
      </w:r>
      <w:r w:rsidR="00572BE0" w:rsidRPr="00A20897">
        <w:rPr>
          <w:rFonts w:ascii="Arial" w:hAnsi="Arial" w:cs="Arial"/>
          <w:b/>
          <w:sz w:val="22"/>
          <w:szCs w:val="22"/>
        </w:rPr>
        <w:t xml:space="preserve"> Advoca</w:t>
      </w:r>
      <w:r w:rsidR="00507171">
        <w:rPr>
          <w:rFonts w:ascii="Arial" w:hAnsi="Arial" w:cs="Arial"/>
          <w:b/>
          <w:sz w:val="22"/>
          <w:szCs w:val="22"/>
        </w:rPr>
        <w:t>te for Federal Tax R</w:t>
      </w:r>
      <w:r w:rsidR="003F51BA">
        <w:rPr>
          <w:rFonts w:ascii="Arial" w:hAnsi="Arial" w:cs="Arial"/>
          <w:b/>
          <w:sz w:val="22"/>
          <w:szCs w:val="22"/>
        </w:rPr>
        <w:t>eform</w:t>
      </w:r>
    </w:p>
    <w:p w:rsidR="00572BE0" w:rsidRDefault="00EB643C" w:rsidP="00D16324">
      <w:pPr>
        <w:ind w:left="720"/>
        <w:jc w:val="both"/>
        <w:rPr>
          <w:rFonts w:ascii="Arial" w:hAnsi="Arial" w:cs="Arial"/>
          <w:sz w:val="22"/>
          <w:szCs w:val="22"/>
        </w:rPr>
      </w:pPr>
      <w:r>
        <w:rPr>
          <w:rFonts w:ascii="Arial" w:hAnsi="Arial" w:cs="Arial"/>
          <w:sz w:val="22"/>
          <w:szCs w:val="22"/>
        </w:rPr>
        <w:t>Council</w:t>
      </w:r>
      <w:r w:rsidR="00221EE2" w:rsidRPr="00EB643C">
        <w:rPr>
          <w:rFonts w:ascii="Arial" w:hAnsi="Arial" w:cs="Arial"/>
          <w:sz w:val="22"/>
          <w:szCs w:val="22"/>
        </w:rPr>
        <w:t xml:space="preserve"> </w:t>
      </w:r>
      <w:r w:rsidR="0022131D" w:rsidRPr="00EB643C">
        <w:rPr>
          <w:rFonts w:ascii="Arial" w:hAnsi="Arial" w:cs="Arial"/>
          <w:sz w:val="22"/>
          <w:szCs w:val="22"/>
        </w:rPr>
        <w:t>will advocate</w:t>
      </w:r>
      <w:r>
        <w:rPr>
          <w:rFonts w:ascii="Arial" w:hAnsi="Arial" w:cs="Arial"/>
          <w:sz w:val="22"/>
          <w:szCs w:val="22"/>
        </w:rPr>
        <w:t xml:space="preserve"> for Federal G</w:t>
      </w:r>
      <w:r w:rsidR="00221EE2" w:rsidRPr="00EB643C">
        <w:rPr>
          <w:rFonts w:ascii="Arial" w:hAnsi="Arial" w:cs="Arial"/>
          <w:sz w:val="22"/>
          <w:szCs w:val="22"/>
        </w:rPr>
        <w:t>overnment intervention to address the housing affordability c</w:t>
      </w:r>
      <w:r w:rsidR="00391109" w:rsidRPr="00EB643C">
        <w:rPr>
          <w:rFonts w:ascii="Arial" w:hAnsi="Arial" w:cs="Arial"/>
          <w:sz w:val="22"/>
          <w:szCs w:val="22"/>
        </w:rPr>
        <w:t xml:space="preserve">risis impacting Greater Sydney. Specifically, </w:t>
      </w:r>
      <w:r w:rsidR="005F7B3B">
        <w:rPr>
          <w:rFonts w:ascii="Arial" w:hAnsi="Arial" w:cs="Arial"/>
          <w:sz w:val="22"/>
          <w:szCs w:val="22"/>
        </w:rPr>
        <w:t>Council</w:t>
      </w:r>
      <w:r w:rsidR="00391109" w:rsidRPr="00EB643C">
        <w:rPr>
          <w:rFonts w:ascii="Arial" w:hAnsi="Arial" w:cs="Arial"/>
          <w:sz w:val="22"/>
          <w:szCs w:val="22"/>
        </w:rPr>
        <w:t xml:space="preserve"> will advocate for the Federal Government to phase out negative gearing and reduce the capital gains tax d</w:t>
      </w:r>
      <w:r>
        <w:rPr>
          <w:rFonts w:ascii="Arial" w:hAnsi="Arial" w:cs="Arial"/>
          <w:sz w:val="22"/>
          <w:szCs w:val="22"/>
        </w:rPr>
        <w:t>iscount for property inves</w:t>
      </w:r>
      <w:r w:rsidR="009D4DDF">
        <w:rPr>
          <w:rFonts w:ascii="Arial" w:hAnsi="Arial" w:cs="Arial"/>
          <w:sz w:val="22"/>
          <w:szCs w:val="22"/>
        </w:rPr>
        <w:t>tors. The basis for this position</w:t>
      </w:r>
      <w:r>
        <w:rPr>
          <w:rFonts w:ascii="Arial" w:hAnsi="Arial" w:cs="Arial"/>
          <w:sz w:val="22"/>
          <w:szCs w:val="22"/>
        </w:rPr>
        <w:t xml:space="preserve"> is found in research undertaken by the Grattan Institute.</w:t>
      </w:r>
      <w:r w:rsidR="00555E90">
        <w:rPr>
          <w:rStyle w:val="FootnoteReference"/>
          <w:rFonts w:ascii="Arial" w:hAnsi="Arial" w:cs="Arial"/>
          <w:sz w:val="22"/>
          <w:szCs w:val="22"/>
        </w:rPr>
        <w:footnoteReference w:id="11"/>
      </w:r>
    </w:p>
    <w:p w:rsidR="00E46F87" w:rsidRPr="00D75456" w:rsidRDefault="00E46F87" w:rsidP="00D16324">
      <w:pPr>
        <w:jc w:val="both"/>
        <w:rPr>
          <w:rFonts w:ascii="Arial" w:hAnsi="Arial" w:cs="Arial"/>
          <w:sz w:val="22"/>
          <w:szCs w:val="22"/>
        </w:rPr>
      </w:pPr>
    </w:p>
    <w:p w:rsidR="00A16ECA" w:rsidRDefault="008E10E6" w:rsidP="00D16324">
      <w:pPr>
        <w:ind w:firstLine="720"/>
        <w:jc w:val="both"/>
        <w:rPr>
          <w:rFonts w:ascii="Arial" w:hAnsi="Arial" w:cs="Arial"/>
          <w:b/>
          <w:sz w:val="22"/>
          <w:szCs w:val="22"/>
        </w:rPr>
      </w:pPr>
      <w:r>
        <w:rPr>
          <w:rFonts w:ascii="Arial" w:hAnsi="Arial" w:cs="Arial"/>
          <w:b/>
          <w:sz w:val="22"/>
          <w:szCs w:val="22"/>
        </w:rPr>
        <w:t xml:space="preserve">Action 2. </w:t>
      </w:r>
      <w:r w:rsidR="00502CA4">
        <w:rPr>
          <w:rFonts w:ascii="Arial" w:hAnsi="Arial" w:cs="Arial"/>
          <w:b/>
          <w:sz w:val="22"/>
          <w:szCs w:val="22"/>
        </w:rPr>
        <w:t>Advocate for State Tax R</w:t>
      </w:r>
      <w:r w:rsidR="003F51BA">
        <w:rPr>
          <w:rFonts w:ascii="Arial" w:hAnsi="Arial" w:cs="Arial"/>
          <w:b/>
          <w:sz w:val="22"/>
          <w:szCs w:val="22"/>
        </w:rPr>
        <w:t>eform</w:t>
      </w:r>
    </w:p>
    <w:p w:rsidR="00A16ECA" w:rsidRDefault="0031723E" w:rsidP="00D16324">
      <w:pPr>
        <w:ind w:left="720"/>
        <w:jc w:val="both"/>
        <w:rPr>
          <w:rFonts w:ascii="Arial" w:hAnsi="Arial" w:cs="Arial"/>
          <w:sz w:val="22"/>
          <w:szCs w:val="22"/>
        </w:rPr>
      </w:pPr>
      <w:r>
        <w:rPr>
          <w:rFonts w:ascii="Arial" w:hAnsi="Arial" w:cs="Arial"/>
          <w:sz w:val="22"/>
          <w:szCs w:val="22"/>
        </w:rPr>
        <w:t>Council</w:t>
      </w:r>
      <w:r w:rsidRPr="00EB643C">
        <w:rPr>
          <w:rFonts w:ascii="Arial" w:hAnsi="Arial" w:cs="Arial"/>
          <w:sz w:val="22"/>
          <w:szCs w:val="22"/>
        </w:rPr>
        <w:t xml:space="preserve"> will advocate</w:t>
      </w:r>
      <w:r>
        <w:rPr>
          <w:rFonts w:ascii="Arial" w:hAnsi="Arial" w:cs="Arial"/>
          <w:sz w:val="22"/>
          <w:szCs w:val="22"/>
        </w:rPr>
        <w:t xml:space="preserve"> for State G</w:t>
      </w:r>
      <w:r w:rsidRPr="00EB643C">
        <w:rPr>
          <w:rFonts w:ascii="Arial" w:hAnsi="Arial" w:cs="Arial"/>
          <w:sz w:val="22"/>
          <w:szCs w:val="22"/>
        </w:rPr>
        <w:t xml:space="preserve">overnment intervention to address the </w:t>
      </w:r>
      <w:r>
        <w:rPr>
          <w:rFonts w:ascii="Arial" w:hAnsi="Arial" w:cs="Arial"/>
          <w:sz w:val="22"/>
          <w:szCs w:val="22"/>
        </w:rPr>
        <w:t>current impact of stamp duty on those who might want to sell their dwelling and use that mon</w:t>
      </w:r>
      <w:r w:rsidR="00C91516">
        <w:rPr>
          <w:rFonts w:ascii="Arial" w:hAnsi="Arial" w:cs="Arial"/>
          <w:sz w:val="22"/>
          <w:szCs w:val="22"/>
        </w:rPr>
        <w:t>ey to buy a more suitable home. Council will ask the State Government to consider replacing stamp duty with a broad-based land tax. The basis for this request is found in the Henry Tax Review</w:t>
      </w:r>
      <w:r w:rsidR="00C91516">
        <w:rPr>
          <w:rStyle w:val="FootnoteReference"/>
          <w:rFonts w:ascii="Arial" w:hAnsi="Arial" w:cs="Arial"/>
          <w:sz w:val="22"/>
          <w:szCs w:val="22"/>
        </w:rPr>
        <w:footnoteReference w:id="12"/>
      </w:r>
      <w:r w:rsidR="00C91516">
        <w:rPr>
          <w:rFonts w:ascii="Arial" w:hAnsi="Arial" w:cs="Arial"/>
          <w:sz w:val="22"/>
          <w:szCs w:val="22"/>
        </w:rPr>
        <w:t xml:space="preserve"> and also in more recent calls from non-government agencies including ACOSS and Shelter NSW.</w:t>
      </w:r>
      <w:r w:rsidR="00866608">
        <w:rPr>
          <w:rStyle w:val="FootnoteReference"/>
          <w:rFonts w:ascii="Arial" w:hAnsi="Arial" w:cs="Arial"/>
          <w:sz w:val="22"/>
          <w:szCs w:val="22"/>
        </w:rPr>
        <w:footnoteReference w:id="13"/>
      </w:r>
    </w:p>
    <w:p w:rsidR="00222B4B" w:rsidRDefault="00222B4B" w:rsidP="00D16324">
      <w:pPr>
        <w:jc w:val="both"/>
        <w:rPr>
          <w:rFonts w:ascii="Arial" w:hAnsi="Arial" w:cs="Arial"/>
          <w:sz w:val="22"/>
          <w:szCs w:val="22"/>
        </w:rPr>
      </w:pPr>
    </w:p>
    <w:p w:rsidR="003F51BA" w:rsidRDefault="008E10E6" w:rsidP="00D16324">
      <w:pPr>
        <w:ind w:firstLine="720"/>
        <w:jc w:val="both"/>
        <w:rPr>
          <w:rFonts w:ascii="Arial" w:hAnsi="Arial" w:cs="Arial"/>
          <w:b/>
          <w:sz w:val="22"/>
          <w:szCs w:val="22"/>
        </w:rPr>
      </w:pPr>
      <w:r>
        <w:rPr>
          <w:rFonts w:ascii="Arial" w:hAnsi="Arial" w:cs="Arial"/>
          <w:b/>
          <w:sz w:val="22"/>
          <w:szCs w:val="22"/>
        </w:rPr>
        <w:t xml:space="preserve">Action 3. </w:t>
      </w:r>
      <w:r w:rsidR="00A16ECA">
        <w:rPr>
          <w:rFonts w:ascii="Arial" w:hAnsi="Arial" w:cs="Arial"/>
          <w:b/>
          <w:sz w:val="22"/>
          <w:szCs w:val="22"/>
        </w:rPr>
        <w:t xml:space="preserve"> Advocate </w:t>
      </w:r>
      <w:r w:rsidR="00222B4B">
        <w:rPr>
          <w:rFonts w:ascii="Arial" w:hAnsi="Arial" w:cs="Arial"/>
          <w:b/>
          <w:sz w:val="22"/>
          <w:szCs w:val="22"/>
        </w:rPr>
        <w:t xml:space="preserve">to NSW Government </w:t>
      </w:r>
      <w:r w:rsidR="00A16ECA">
        <w:rPr>
          <w:rFonts w:ascii="Arial" w:hAnsi="Arial" w:cs="Arial"/>
          <w:b/>
          <w:sz w:val="22"/>
          <w:szCs w:val="22"/>
        </w:rPr>
        <w:t>for more social housing</w:t>
      </w:r>
    </w:p>
    <w:p w:rsidR="00E56882" w:rsidRDefault="0005023A" w:rsidP="00D16324">
      <w:pPr>
        <w:ind w:left="720"/>
        <w:jc w:val="both"/>
        <w:rPr>
          <w:rFonts w:ascii="Arial" w:hAnsi="Arial" w:cs="Arial"/>
          <w:sz w:val="22"/>
          <w:szCs w:val="22"/>
        </w:rPr>
      </w:pPr>
      <w:r>
        <w:rPr>
          <w:rFonts w:ascii="Arial" w:hAnsi="Arial" w:cs="Arial"/>
          <w:sz w:val="22"/>
          <w:szCs w:val="22"/>
        </w:rPr>
        <w:t>Council will advocate to the State Government to continue to provide more socia</w:t>
      </w:r>
      <w:r w:rsidR="005F7B3B">
        <w:rPr>
          <w:rFonts w:ascii="Arial" w:hAnsi="Arial" w:cs="Arial"/>
          <w:sz w:val="22"/>
          <w:szCs w:val="22"/>
        </w:rPr>
        <w:t xml:space="preserve">l housing dwellings in </w:t>
      </w:r>
      <w:r>
        <w:rPr>
          <w:rFonts w:ascii="Arial" w:hAnsi="Arial" w:cs="Arial"/>
          <w:sz w:val="22"/>
          <w:szCs w:val="22"/>
        </w:rPr>
        <w:t>Parramatta</w:t>
      </w:r>
      <w:r w:rsidR="001D69F4">
        <w:rPr>
          <w:rFonts w:ascii="Arial" w:hAnsi="Arial" w:cs="Arial"/>
          <w:sz w:val="22"/>
          <w:szCs w:val="22"/>
        </w:rPr>
        <w:t xml:space="preserve"> in order to maintain the percentage share of social housing into the future of 6% of dwellings. This equates to 9,100 dwellings by 2036</w:t>
      </w:r>
      <w:r>
        <w:rPr>
          <w:rFonts w:ascii="Arial" w:hAnsi="Arial" w:cs="Arial"/>
          <w:sz w:val="22"/>
          <w:szCs w:val="22"/>
        </w:rPr>
        <w:t xml:space="preserve">. </w:t>
      </w:r>
      <w:r w:rsidR="00612C9F">
        <w:rPr>
          <w:rFonts w:ascii="Arial" w:hAnsi="Arial" w:cs="Arial"/>
          <w:sz w:val="22"/>
          <w:szCs w:val="22"/>
        </w:rPr>
        <w:t xml:space="preserve">In order to achieve this, Council will propose precinct renewal areas to the NSW Government that could </w:t>
      </w:r>
      <w:r w:rsidR="001D69F4">
        <w:rPr>
          <w:rFonts w:ascii="Arial" w:hAnsi="Arial" w:cs="Arial"/>
          <w:sz w:val="22"/>
          <w:szCs w:val="22"/>
        </w:rPr>
        <w:t xml:space="preserve">include social housing dwellings in their mix. Having successfully partnered with the NSW Land and Housing Corporation (LAHC) to develop a master plan for the renewal of Telopea, </w:t>
      </w:r>
      <w:r w:rsidR="009F191C">
        <w:rPr>
          <w:rFonts w:ascii="Arial" w:hAnsi="Arial" w:cs="Arial"/>
          <w:sz w:val="22"/>
          <w:szCs w:val="22"/>
        </w:rPr>
        <w:t>Council will next seek to partner with the NSW Government in a similar way to master pla</w:t>
      </w:r>
      <w:r w:rsidR="001D69F4">
        <w:rPr>
          <w:rFonts w:ascii="Arial" w:hAnsi="Arial" w:cs="Arial"/>
          <w:sz w:val="22"/>
          <w:szCs w:val="22"/>
        </w:rPr>
        <w:t>n</w:t>
      </w:r>
      <w:r w:rsidR="00713842">
        <w:rPr>
          <w:rFonts w:ascii="Arial" w:hAnsi="Arial" w:cs="Arial"/>
          <w:sz w:val="22"/>
          <w:szCs w:val="22"/>
        </w:rPr>
        <w:t xml:space="preserve"> the suburb of Wentworthville, w</w:t>
      </w:r>
      <w:r w:rsidR="001D69F4">
        <w:rPr>
          <w:rFonts w:ascii="Arial" w:hAnsi="Arial" w:cs="Arial"/>
          <w:sz w:val="22"/>
          <w:szCs w:val="22"/>
        </w:rPr>
        <w:t>hich includes a large social housing estate.</w:t>
      </w:r>
    </w:p>
    <w:p w:rsidR="00F53917" w:rsidRDefault="00F53917" w:rsidP="00D16324">
      <w:pPr>
        <w:jc w:val="both"/>
        <w:rPr>
          <w:rFonts w:ascii="Arial" w:hAnsi="Arial" w:cs="Arial"/>
          <w:b/>
          <w:sz w:val="22"/>
          <w:szCs w:val="22"/>
        </w:rPr>
      </w:pPr>
    </w:p>
    <w:p w:rsidR="00171D40" w:rsidRDefault="00171D40" w:rsidP="003F51BA">
      <w:pPr>
        <w:rPr>
          <w:rFonts w:ascii="Arial" w:hAnsi="Arial" w:cs="Arial"/>
          <w:b/>
          <w:sz w:val="22"/>
          <w:szCs w:val="22"/>
        </w:rPr>
      </w:pPr>
    </w:p>
    <w:p w:rsidR="00171D40" w:rsidRDefault="00171D40" w:rsidP="003F51BA">
      <w:pPr>
        <w:rPr>
          <w:rFonts w:ascii="Arial" w:hAnsi="Arial" w:cs="Arial"/>
          <w:b/>
          <w:sz w:val="22"/>
          <w:szCs w:val="22"/>
        </w:rPr>
      </w:pPr>
    </w:p>
    <w:p w:rsidR="00171D40" w:rsidRDefault="00171D40" w:rsidP="003F51BA">
      <w:pPr>
        <w:rPr>
          <w:rFonts w:ascii="Arial" w:hAnsi="Arial" w:cs="Arial"/>
          <w:b/>
          <w:sz w:val="22"/>
          <w:szCs w:val="22"/>
        </w:rPr>
      </w:pPr>
    </w:p>
    <w:p w:rsidR="00D16324" w:rsidRDefault="00D16324" w:rsidP="003F51BA">
      <w:pPr>
        <w:rPr>
          <w:rFonts w:ascii="Arial" w:hAnsi="Arial" w:cs="Arial"/>
          <w:b/>
          <w:sz w:val="22"/>
          <w:szCs w:val="22"/>
        </w:rPr>
      </w:pPr>
    </w:p>
    <w:p w:rsidR="0099681F" w:rsidRDefault="0099681F" w:rsidP="003F51BA">
      <w:pPr>
        <w:rPr>
          <w:rFonts w:ascii="Arial" w:hAnsi="Arial" w:cs="Arial"/>
          <w:b/>
          <w:sz w:val="22"/>
          <w:szCs w:val="22"/>
        </w:rPr>
      </w:pPr>
    </w:p>
    <w:p w:rsidR="002F5BF8" w:rsidRDefault="002F5BF8" w:rsidP="003F51BA">
      <w:pPr>
        <w:rPr>
          <w:rFonts w:ascii="Arial" w:hAnsi="Arial" w:cs="Arial"/>
          <w:b/>
          <w:sz w:val="22"/>
          <w:szCs w:val="22"/>
        </w:rPr>
      </w:pPr>
    </w:p>
    <w:p w:rsidR="00620C8D" w:rsidRDefault="008E10E6" w:rsidP="003F51BA">
      <w:pPr>
        <w:rPr>
          <w:rFonts w:ascii="Arial" w:hAnsi="Arial" w:cs="Arial"/>
          <w:b/>
          <w:sz w:val="22"/>
          <w:szCs w:val="22"/>
        </w:rPr>
      </w:pPr>
      <w:r>
        <w:rPr>
          <w:rFonts w:ascii="Arial" w:hAnsi="Arial" w:cs="Arial"/>
          <w:b/>
          <w:sz w:val="22"/>
          <w:szCs w:val="22"/>
        </w:rPr>
        <w:lastRenderedPageBreak/>
        <w:t xml:space="preserve">4.2.2 </w:t>
      </w:r>
      <w:r w:rsidR="00620C8D">
        <w:rPr>
          <w:rFonts w:ascii="Arial" w:hAnsi="Arial" w:cs="Arial"/>
          <w:b/>
          <w:sz w:val="22"/>
          <w:szCs w:val="22"/>
        </w:rPr>
        <w:t>Facilitating development</w:t>
      </w:r>
    </w:p>
    <w:p w:rsidR="00493713" w:rsidRDefault="00493713" w:rsidP="003F51BA">
      <w:pPr>
        <w:rPr>
          <w:rFonts w:ascii="Arial" w:hAnsi="Arial" w:cs="Arial"/>
          <w:b/>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3207"/>
        <w:gridCol w:w="2909"/>
      </w:tblGrid>
      <w:tr w:rsidR="00620C8D" w:rsidTr="008939A8">
        <w:trPr>
          <w:jc w:val="center"/>
        </w:trPr>
        <w:tc>
          <w:tcPr>
            <w:tcW w:w="3206" w:type="dxa"/>
          </w:tcPr>
          <w:p w:rsidR="00620C8D" w:rsidRDefault="00620C8D" w:rsidP="008939A8">
            <w:pPr>
              <w:rPr>
                <w:rFonts w:ascii="Arial" w:hAnsi="Arial" w:cs="Arial"/>
                <w:color w:val="FF0000"/>
                <w:sz w:val="22"/>
                <w:szCs w:val="22"/>
              </w:rPr>
            </w:pPr>
            <w:r>
              <w:rPr>
                <w:rFonts w:ascii="Arial" w:hAnsi="Arial" w:cs="Arial"/>
                <w:noProof/>
                <w:color w:val="FF0000"/>
                <w:sz w:val="22"/>
                <w:szCs w:val="22"/>
                <w:lang w:val="en-AU" w:eastAsia="en-AU"/>
              </w:rPr>
              <mc:AlternateContent>
                <mc:Choice Requires="wps">
                  <w:drawing>
                    <wp:anchor distT="0" distB="0" distL="114300" distR="114300" simplePos="0" relativeHeight="251693056" behindDoc="0" locked="0" layoutInCell="1" allowOverlap="1" wp14:anchorId="5F2ECCD7" wp14:editId="217534C4">
                      <wp:simplePos x="0" y="0"/>
                      <wp:positionH relativeFrom="column">
                        <wp:posOffset>-4445</wp:posOffset>
                      </wp:positionH>
                      <wp:positionV relativeFrom="paragraph">
                        <wp:posOffset>8891</wp:posOffset>
                      </wp:positionV>
                      <wp:extent cx="1693628" cy="990600"/>
                      <wp:effectExtent l="0" t="0" r="20955" b="19050"/>
                      <wp:wrapNone/>
                      <wp:docPr id="22" name="Rounded Rectangle 22"/>
                      <wp:cNvGraphicFramePr/>
                      <a:graphic xmlns:a="http://schemas.openxmlformats.org/drawingml/2006/main">
                        <a:graphicData uri="http://schemas.microsoft.com/office/word/2010/wordprocessingShape">
                          <wps:wsp>
                            <wps:cNvSpPr/>
                            <wps:spPr>
                              <a:xfrm>
                                <a:off x="0" y="0"/>
                                <a:ext cx="1693628" cy="99060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B53717" w:rsidRPr="00E07727" w:rsidRDefault="00B53717" w:rsidP="00620C8D">
                                  <w:pPr>
                                    <w:rPr>
                                      <w:rFonts w:ascii="Arial" w:hAnsi="Arial" w:cs="Arial"/>
                                      <w:sz w:val="20"/>
                                      <w:lang w:val="en-AU"/>
                                    </w:rPr>
                                  </w:pPr>
                                  <w:r>
                                    <w:rPr>
                                      <w:rFonts w:ascii="Arial" w:hAnsi="Arial" w:cs="Arial"/>
                                      <w:b/>
                                      <w:bCs/>
                                      <w:sz w:val="20"/>
                                      <w:lang w:val="en-AU"/>
                                    </w:rPr>
                                    <w:t xml:space="preserve">4. </w:t>
                                  </w:r>
                                  <w:r w:rsidRPr="00E07727">
                                    <w:rPr>
                                      <w:rFonts w:ascii="Arial" w:hAnsi="Arial" w:cs="Arial"/>
                                      <w:b/>
                                      <w:bCs/>
                                      <w:sz w:val="20"/>
                                      <w:lang w:val="en-AU"/>
                                    </w:rPr>
                                    <w:t>Continue to utilise VPAs to secure future affordable housing stock</w:t>
                                  </w:r>
                                </w:p>
                                <w:p w:rsidR="00B53717" w:rsidRDefault="00B53717" w:rsidP="00620C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2ECCD7" id="Rounded Rectangle 22" o:spid="_x0000_s1029" style="position:absolute;margin-left:-.35pt;margin-top:.7pt;width:133.3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" fillcolor="#f79646 [3209]" strokecolor="#243f60 [1604]" strokeweight="2pt">
                      <v:textbox>
                        <w:txbxContent>
                          <w:p w:rsidR="00B53717" w:rsidRPr="00E07727" w:rsidRDefault="00B53717" w:rsidP="00620C8D">
                            <w:pPr>
                              <w:rPr>
                                <w:rFonts w:ascii="Arial" w:hAnsi="Arial" w:cs="Arial"/>
                                <w:sz w:val="20"/>
                                <w:lang w:val="en-AU"/>
                              </w:rPr>
                            </w:pPr>
                            <w:r>
                              <w:rPr>
                                <w:rFonts w:ascii="Arial" w:hAnsi="Arial" w:cs="Arial"/>
                                <w:b/>
                                <w:bCs/>
                                <w:sz w:val="20"/>
                                <w:lang w:val="en-AU"/>
                              </w:rPr>
                              <w:t xml:space="preserve">4. </w:t>
                            </w:r>
                            <w:r w:rsidRPr="00E07727">
                              <w:rPr>
                                <w:rFonts w:ascii="Arial" w:hAnsi="Arial" w:cs="Arial"/>
                                <w:b/>
                                <w:bCs/>
                                <w:sz w:val="20"/>
                                <w:lang w:val="en-AU"/>
                              </w:rPr>
                              <w:t>Continue to utilise VPAs to secure future affordable housing stock</w:t>
                            </w:r>
                          </w:p>
                          <w:p w:rsidR="00B53717" w:rsidRDefault="00B53717" w:rsidP="00620C8D">
                            <w:pPr>
                              <w:jc w:val="center"/>
                            </w:pPr>
                          </w:p>
                        </w:txbxContent>
                      </v:textbox>
                    </v:roundrect>
                  </w:pict>
                </mc:Fallback>
              </mc:AlternateContent>
            </w:r>
          </w:p>
          <w:p w:rsidR="00620C8D" w:rsidRDefault="00620C8D" w:rsidP="008939A8">
            <w:pPr>
              <w:rPr>
                <w:rFonts w:ascii="Arial" w:hAnsi="Arial" w:cs="Arial"/>
                <w:color w:val="FF0000"/>
                <w:sz w:val="22"/>
                <w:szCs w:val="22"/>
              </w:rPr>
            </w:pPr>
          </w:p>
          <w:p w:rsidR="00620C8D" w:rsidRDefault="00620C8D" w:rsidP="008939A8">
            <w:pPr>
              <w:rPr>
                <w:rFonts w:ascii="Arial" w:hAnsi="Arial" w:cs="Arial"/>
                <w:color w:val="FF0000"/>
                <w:sz w:val="22"/>
                <w:szCs w:val="22"/>
              </w:rPr>
            </w:pPr>
          </w:p>
          <w:p w:rsidR="00620C8D" w:rsidRDefault="00620C8D" w:rsidP="008939A8">
            <w:pPr>
              <w:rPr>
                <w:rFonts w:ascii="Arial" w:hAnsi="Arial" w:cs="Arial"/>
                <w:color w:val="FF0000"/>
                <w:sz w:val="22"/>
                <w:szCs w:val="22"/>
              </w:rPr>
            </w:pPr>
          </w:p>
          <w:p w:rsidR="00620C8D" w:rsidRDefault="00620C8D" w:rsidP="008939A8">
            <w:pPr>
              <w:rPr>
                <w:rFonts w:ascii="Arial" w:hAnsi="Arial" w:cs="Arial"/>
                <w:color w:val="FF0000"/>
                <w:sz w:val="22"/>
                <w:szCs w:val="22"/>
              </w:rPr>
            </w:pPr>
          </w:p>
          <w:p w:rsidR="00620C8D" w:rsidRDefault="00620C8D" w:rsidP="008939A8">
            <w:pPr>
              <w:rPr>
                <w:rFonts w:ascii="Arial" w:hAnsi="Arial" w:cs="Arial"/>
                <w:color w:val="FF0000"/>
                <w:sz w:val="22"/>
                <w:szCs w:val="22"/>
              </w:rPr>
            </w:pPr>
          </w:p>
          <w:p w:rsidR="00620C8D" w:rsidRDefault="00620C8D" w:rsidP="008939A8">
            <w:pPr>
              <w:rPr>
                <w:rFonts w:ascii="Arial" w:hAnsi="Arial" w:cs="Arial"/>
                <w:color w:val="FF0000"/>
                <w:sz w:val="22"/>
                <w:szCs w:val="22"/>
              </w:rPr>
            </w:pPr>
          </w:p>
          <w:p w:rsidR="005F0EA3" w:rsidRDefault="005F0EA3" w:rsidP="008939A8">
            <w:pPr>
              <w:rPr>
                <w:rFonts w:ascii="Arial" w:hAnsi="Arial" w:cs="Arial"/>
                <w:color w:val="FF0000"/>
                <w:sz w:val="22"/>
                <w:szCs w:val="22"/>
              </w:rPr>
            </w:pPr>
          </w:p>
          <w:p w:rsidR="005F0EA3" w:rsidRDefault="005F0EA3" w:rsidP="008939A8">
            <w:pPr>
              <w:rPr>
                <w:rFonts w:ascii="Arial" w:hAnsi="Arial" w:cs="Arial"/>
                <w:color w:val="FF0000"/>
                <w:sz w:val="22"/>
                <w:szCs w:val="22"/>
              </w:rPr>
            </w:pPr>
          </w:p>
          <w:p w:rsidR="005F0EA3" w:rsidRDefault="005F0EA3" w:rsidP="008939A8">
            <w:pPr>
              <w:rPr>
                <w:rFonts w:ascii="Arial" w:hAnsi="Arial" w:cs="Arial"/>
                <w:color w:val="FF0000"/>
                <w:sz w:val="22"/>
                <w:szCs w:val="22"/>
              </w:rPr>
            </w:pPr>
          </w:p>
          <w:p w:rsidR="00171D40" w:rsidRDefault="00171D40" w:rsidP="008939A8">
            <w:pPr>
              <w:rPr>
                <w:rFonts w:ascii="Arial" w:hAnsi="Arial" w:cs="Arial"/>
                <w:color w:val="FF0000"/>
                <w:sz w:val="22"/>
                <w:szCs w:val="22"/>
              </w:rPr>
            </w:pPr>
          </w:p>
        </w:tc>
        <w:tc>
          <w:tcPr>
            <w:tcW w:w="3207" w:type="dxa"/>
          </w:tcPr>
          <w:p w:rsidR="00620C8D" w:rsidRDefault="00620C8D" w:rsidP="008939A8">
            <w:pPr>
              <w:rPr>
                <w:rFonts w:ascii="Arial" w:hAnsi="Arial" w:cs="Arial"/>
                <w:color w:val="FF0000"/>
                <w:sz w:val="22"/>
                <w:szCs w:val="22"/>
              </w:rPr>
            </w:pPr>
            <w:r>
              <w:rPr>
                <w:rFonts w:ascii="Arial" w:hAnsi="Arial" w:cs="Arial"/>
                <w:noProof/>
                <w:color w:val="FF0000"/>
                <w:sz w:val="22"/>
                <w:szCs w:val="22"/>
                <w:lang w:val="en-AU" w:eastAsia="en-AU"/>
              </w:rPr>
              <mc:AlternateContent>
                <mc:Choice Requires="wps">
                  <w:drawing>
                    <wp:anchor distT="0" distB="0" distL="114300" distR="114300" simplePos="0" relativeHeight="251694080" behindDoc="0" locked="0" layoutInCell="1" allowOverlap="1" wp14:anchorId="4B0BB7D1" wp14:editId="1B9798AE">
                      <wp:simplePos x="0" y="0"/>
                      <wp:positionH relativeFrom="column">
                        <wp:posOffset>-1905</wp:posOffset>
                      </wp:positionH>
                      <wp:positionV relativeFrom="paragraph">
                        <wp:posOffset>7620</wp:posOffset>
                      </wp:positionV>
                      <wp:extent cx="1693628" cy="1600200"/>
                      <wp:effectExtent l="0" t="0" r="20955" b="19050"/>
                      <wp:wrapNone/>
                      <wp:docPr id="23" name="Rounded Rectangle 23"/>
                      <wp:cNvGraphicFramePr/>
                      <a:graphic xmlns:a="http://schemas.openxmlformats.org/drawingml/2006/main">
                        <a:graphicData uri="http://schemas.microsoft.com/office/word/2010/wordprocessingShape">
                          <wps:wsp>
                            <wps:cNvSpPr/>
                            <wps:spPr>
                              <a:xfrm>
                                <a:off x="0" y="0"/>
                                <a:ext cx="1693628" cy="160020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B53717" w:rsidRPr="005F0EA3" w:rsidRDefault="00B53717" w:rsidP="00620C8D">
                                  <w:pPr>
                                    <w:rPr>
                                      <w:rFonts w:ascii="Arial" w:hAnsi="Arial" w:cs="Arial"/>
                                      <w:sz w:val="20"/>
                                      <w:szCs w:val="20"/>
                                      <w:lang w:val="en-AU"/>
                                    </w:rPr>
                                  </w:pPr>
                                  <w:r w:rsidRPr="005F0EA3">
                                    <w:rPr>
                                      <w:rFonts w:ascii="Arial" w:hAnsi="Arial" w:cs="Arial"/>
                                      <w:b/>
                                      <w:bCs/>
                                      <w:sz w:val="20"/>
                                      <w:szCs w:val="20"/>
                                      <w:lang w:val="en-AU"/>
                                    </w:rPr>
                                    <w:t>5. Pursue Inclusionary Zoning by applying to DPE for in</w:t>
                                  </w:r>
                                  <w:r>
                                    <w:rPr>
                                      <w:rFonts w:ascii="Arial" w:hAnsi="Arial" w:cs="Arial"/>
                                      <w:b/>
                                      <w:bCs/>
                                      <w:sz w:val="20"/>
                                      <w:szCs w:val="20"/>
                                      <w:lang w:val="en-AU"/>
                                    </w:rPr>
                                    <w:t xml:space="preserve">clusion under SEPP 70 – seeking affordable rental housing </w:t>
                                  </w:r>
                                  <w:r w:rsidRPr="005F0EA3">
                                    <w:rPr>
                                      <w:rFonts w:ascii="Arial" w:hAnsi="Arial" w:cs="Arial"/>
                                      <w:b/>
                                      <w:bCs/>
                                      <w:sz w:val="20"/>
                                      <w:szCs w:val="20"/>
                                      <w:lang w:val="en-AU"/>
                                    </w:rPr>
                                    <w:t>on pri</w:t>
                                  </w:r>
                                  <w:r>
                                    <w:rPr>
                                      <w:rFonts w:ascii="Arial" w:hAnsi="Arial" w:cs="Arial"/>
                                      <w:b/>
                                      <w:bCs/>
                                      <w:sz w:val="20"/>
                                      <w:szCs w:val="20"/>
                                      <w:lang w:val="en-AU"/>
                                    </w:rPr>
                                    <w:t>vate land and on government</w:t>
                                  </w:r>
                                  <w:r w:rsidRPr="005F0EA3">
                                    <w:rPr>
                                      <w:rFonts w:ascii="Arial" w:hAnsi="Arial" w:cs="Arial"/>
                                      <w:b/>
                                      <w:bCs/>
                                      <w:sz w:val="20"/>
                                      <w:szCs w:val="20"/>
                                      <w:lang w:val="en-AU"/>
                                    </w:rPr>
                                    <w:t xml:space="preserve"> land</w:t>
                                  </w:r>
                                </w:p>
                                <w:p w:rsidR="00B53717" w:rsidRPr="005F0EA3" w:rsidRDefault="00B53717" w:rsidP="00620C8D">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0BB7D1" id="Rounded Rectangle 23" o:spid="_x0000_s1030" style="position:absolute;margin-left:-.15pt;margin-top:.6pt;width:133.35pt;height:1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" fillcolor="#f79646 [3209]" strokecolor="#243f60 [1604]" strokeweight="2pt">
                      <v:textbox>
                        <w:txbxContent>
                          <w:p w:rsidR="00B53717" w:rsidRPr="005F0EA3" w:rsidRDefault="00B53717" w:rsidP="00620C8D">
                            <w:pPr>
                              <w:rPr>
                                <w:rFonts w:ascii="Arial" w:hAnsi="Arial" w:cs="Arial"/>
                                <w:sz w:val="20"/>
                                <w:szCs w:val="20"/>
                                <w:lang w:val="en-AU"/>
                              </w:rPr>
                            </w:pPr>
                            <w:r w:rsidRPr="005F0EA3">
                              <w:rPr>
                                <w:rFonts w:ascii="Arial" w:hAnsi="Arial" w:cs="Arial"/>
                                <w:b/>
                                <w:bCs/>
                                <w:sz w:val="20"/>
                                <w:szCs w:val="20"/>
                                <w:lang w:val="en-AU"/>
                              </w:rPr>
                              <w:t>5. Pursue Inclusionary Zoning by applying to DPE for in</w:t>
                            </w:r>
                            <w:r>
                              <w:rPr>
                                <w:rFonts w:ascii="Arial" w:hAnsi="Arial" w:cs="Arial"/>
                                <w:b/>
                                <w:bCs/>
                                <w:sz w:val="20"/>
                                <w:szCs w:val="20"/>
                                <w:lang w:val="en-AU"/>
                              </w:rPr>
                              <w:t xml:space="preserve">clusion under SEPP 70 – seeking affordable rental housing </w:t>
                            </w:r>
                            <w:r w:rsidRPr="005F0EA3">
                              <w:rPr>
                                <w:rFonts w:ascii="Arial" w:hAnsi="Arial" w:cs="Arial"/>
                                <w:b/>
                                <w:bCs/>
                                <w:sz w:val="20"/>
                                <w:szCs w:val="20"/>
                                <w:lang w:val="en-AU"/>
                              </w:rPr>
                              <w:t>on pri</w:t>
                            </w:r>
                            <w:r>
                              <w:rPr>
                                <w:rFonts w:ascii="Arial" w:hAnsi="Arial" w:cs="Arial"/>
                                <w:b/>
                                <w:bCs/>
                                <w:sz w:val="20"/>
                                <w:szCs w:val="20"/>
                                <w:lang w:val="en-AU"/>
                              </w:rPr>
                              <w:t>vate land and on government</w:t>
                            </w:r>
                            <w:r w:rsidRPr="005F0EA3">
                              <w:rPr>
                                <w:rFonts w:ascii="Arial" w:hAnsi="Arial" w:cs="Arial"/>
                                <w:b/>
                                <w:bCs/>
                                <w:sz w:val="20"/>
                                <w:szCs w:val="20"/>
                                <w:lang w:val="en-AU"/>
                              </w:rPr>
                              <w:t xml:space="preserve"> land</w:t>
                            </w:r>
                          </w:p>
                          <w:p w:rsidR="00B53717" w:rsidRPr="005F0EA3" w:rsidRDefault="00B53717" w:rsidP="00620C8D">
                            <w:pPr>
                              <w:jc w:val="center"/>
                              <w:rPr>
                                <w:sz w:val="20"/>
                                <w:szCs w:val="20"/>
                              </w:rPr>
                            </w:pPr>
                          </w:p>
                        </w:txbxContent>
                      </v:textbox>
                    </v:roundrect>
                  </w:pict>
                </mc:Fallback>
              </mc:AlternateContent>
            </w:r>
          </w:p>
        </w:tc>
        <w:tc>
          <w:tcPr>
            <w:tcW w:w="2909" w:type="dxa"/>
          </w:tcPr>
          <w:p w:rsidR="00620C8D" w:rsidRDefault="00620C8D" w:rsidP="008939A8">
            <w:pPr>
              <w:rPr>
                <w:rFonts w:ascii="Arial" w:hAnsi="Arial" w:cs="Arial"/>
                <w:color w:val="FF0000"/>
                <w:sz w:val="22"/>
                <w:szCs w:val="22"/>
              </w:rPr>
            </w:pPr>
            <w:r>
              <w:rPr>
                <w:rFonts w:ascii="Arial" w:hAnsi="Arial" w:cs="Arial"/>
                <w:noProof/>
                <w:color w:val="FF0000"/>
                <w:sz w:val="22"/>
                <w:szCs w:val="22"/>
                <w:lang w:val="en-AU" w:eastAsia="en-AU"/>
              </w:rPr>
              <mc:AlternateContent>
                <mc:Choice Requires="wps">
                  <w:drawing>
                    <wp:anchor distT="0" distB="0" distL="114300" distR="114300" simplePos="0" relativeHeight="251696128" behindDoc="0" locked="0" layoutInCell="1" allowOverlap="1" wp14:anchorId="3E30F901" wp14:editId="77CD6012">
                      <wp:simplePos x="0" y="0"/>
                      <wp:positionH relativeFrom="column">
                        <wp:posOffset>4445</wp:posOffset>
                      </wp:positionH>
                      <wp:positionV relativeFrom="paragraph">
                        <wp:posOffset>4445</wp:posOffset>
                      </wp:positionV>
                      <wp:extent cx="1693628" cy="970059"/>
                      <wp:effectExtent l="0" t="0" r="20955" b="20955"/>
                      <wp:wrapNone/>
                      <wp:docPr id="24" name="Rounded Rectangle 24"/>
                      <wp:cNvGraphicFramePr/>
                      <a:graphic xmlns:a="http://schemas.openxmlformats.org/drawingml/2006/main">
                        <a:graphicData uri="http://schemas.microsoft.com/office/word/2010/wordprocessingShape">
                          <wps:wsp>
                            <wps:cNvSpPr/>
                            <wps:spPr>
                              <a:xfrm>
                                <a:off x="0" y="0"/>
                                <a:ext cx="1693628" cy="970059"/>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B53717" w:rsidRPr="00E07727" w:rsidRDefault="00B53717" w:rsidP="00620C8D">
                                  <w:pPr>
                                    <w:rPr>
                                      <w:rFonts w:ascii="Arial" w:hAnsi="Arial" w:cs="Arial"/>
                                      <w:sz w:val="20"/>
                                      <w:szCs w:val="20"/>
                                      <w:lang w:val="en-AU"/>
                                    </w:rPr>
                                  </w:pPr>
                                  <w:r>
                                    <w:rPr>
                                      <w:rFonts w:ascii="Arial" w:hAnsi="Arial" w:cs="Arial"/>
                                      <w:b/>
                                      <w:bCs/>
                                      <w:sz w:val="20"/>
                                      <w:szCs w:val="20"/>
                                      <w:lang w:val="en-AU"/>
                                    </w:rPr>
                                    <w:t xml:space="preserve">6. </w:t>
                                  </w:r>
                                  <w:r w:rsidRPr="00E07727">
                                    <w:rPr>
                                      <w:rFonts w:ascii="Arial" w:hAnsi="Arial" w:cs="Arial"/>
                                      <w:b/>
                                      <w:bCs/>
                                      <w:sz w:val="20"/>
                                      <w:szCs w:val="20"/>
                                      <w:lang w:val="en-AU"/>
                                    </w:rPr>
                                    <w:t>Pursue affordable housing developments o</w:t>
                                  </w:r>
                                  <w:r>
                                    <w:rPr>
                                      <w:rFonts w:ascii="Arial" w:hAnsi="Arial" w:cs="Arial"/>
                                      <w:b/>
                                      <w:bCs/>
                                      <w:sz w:val="20"/>
                                      <w:szCs w:val="20"/>
                                      <w:lang w:val="en-AU"/>
                                    </w:rPr>
                                    <w:t>n Council-owned land</w:t>
                                  </w:r>
                                </w:p>
                                <w:p w:rsidR="00B53717" w:rsidRDefault="00B53717" w:rsidP="00620C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0F901" id="Rounded Rectangle 24" o:spid="_x0000_s1031" style="position:absolute;margin-left:.35pt;margin-top:.35pt;width:133.35pt;height:76.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" fillcolor="#f79646 [3209]" strokecolor="#243f60 [1604]" strokeweight="2pt">
                      <v:textbox>
                        <w:txbxContent>
                          <w:p w:rsidR="00B53717" w:rsidRPr="00E07727" w:rsidRDefault="00B53717" w:rsidP="00620C8D">
                            <w:pPr>
                              <w:rPr>
                                <w:rFonts w:ascii="Arial" w:hAnsi="Arial" w:cs="Arial"/>
                                <w:sz w:val="20"/>
                                <w:szCs w:val="20"/>
                                <w:lang w:val="en-AU"/>
                              </w:rPr>
                            </w:pPr>
                            <w:r>
                              <w:rPr>
                                <w:rFonts w:ascii="Arial" w:hAnsi="Arial" w:cs="Arial"/>
                                <w:b/>
                                <w:bCs/>
                                <w:sz w:val="20"/>
                                <w:szCs w:val="20"/>
                                <w:lang w:val="en-AU"/>
                              </w:rPr>
                              <w:t xml:space="preserve">6. </w:t>
                            </w:r>
                            <w:r w:rsidRPr="00E07727">
                              <w:rPr>
                                <w:rFonts w:ascii="Arial" w:hAnsi="Arial" w:cs="Arial"/>
                                <w:b/>
                                <w:bCs/>
                                <w:sz w:val="20"/>
                                <w:szCs w:val="20"/>
                                <w:lang w:val="en-AU"/>
                              </w:rPr>
                              <w:t>Pursue affordable housing developments o</w:t>
                            </w:r>
                            <w:r>
                              <w:rPr>
                                <w:rFonts w:ascii="Arial" w:hAnsi="Arial" w:cs="Arial"/>
                                <w:b/>
                                <w:bCs/>
                                <w:sz w:val="20"/>
                                <w:szCs w:val="20"/>
                                <w:lang w:val="en-AU"/>
                              </w:rPr>
                              <w:t>n Council-owned land</w:t>
                            </w:r>
                          </w:p>
                          <w:p w:rsidR="00B53717" w:rsidRDefault="00B53717" w:rsidP="00620C8D">
                            <w:pPr>
                              <w:jc w:val="center"/>
                            </w:pPr>
                          </w:p>
                        </w:txbxContent>
                      </v:textbox>
                    </v:roundrect>
                  </w:pict>
                </mc:Fallback>
              </mc:AlternateContent>
            </w:r>
          </w:p>
        </w:tc>
      </w:tr>
      <w:tr w:rsidR="00620C8D" w:rsidTr="008939A8">
        <w:trPr>
          <w:jc w:val="center"/>
        </w:trPr>
        <w:tc>
          <w:tcPr>
            <w:tcW w:w="3206" w:type="dxa"/>
          </w:tcPr>
          <w:p w:rsidR="00620C8D" w:rsidRDefault="00620C8D" w:rsidP="008939A8">
            <w:pPr>
              <w:rPr>
                <w:rFonts w:ascii="Arial" w:hAnsi="Arial" w:cs="Arial"/>
                <w:noProof/>
                <w:color w:val="FF0000"/>
                <w:sz w:val="22"/>
                <w:szCs w:val="22"/>
                <w:lang w:val="en-AU" w:eastAsia="en-AU"/>
              </w:rPr>
            </w:pPr>
          </w:p>
          <w:p w:rsidR="00620C8D" w:rsidRDefault="00620C8D" w:rsidP="008939A8">
            <w:pPr>
              <w:rPr>
                <w:rFonts w:ascii="Arial" w:hAnsi="Arial" w:cs="Arial"/>
                <w:noProof/>
                <w:color w:val="FF0000"/>
                <w:sz w:val="22"/>
                <w:szCs w:val="22"/>
                <w:lang w:val="en-AU" w:eastAsia="en-AU"/>
              </w:rPr>
            </w:pPr>
          </w:p>
          <w:p w:rsidR="00620C8D" w:rsidRDefault="00620C8D" w:rsidP="008939A8">
            <w:pPr>
              <w:rPr>
                <w:rFonts w:ascii="Arial" w:hAnsi="Arial" w:cs="Arial"/>
                <w:noProof/>
                <w:color w:val="FF0000"/>
                <w:sz w:val="22"/>
                <w:szCs w:val="22"/>
                <w:lang w:val="en-AU" w:eastAsia="en-AU"/>
              </w:rPr>
            </w:pPr>
          </w:p>
          <w:p w:rsidR="00620C8D" w:rsidRDefault="00620C8D" w:rsidP="008939A8">
            <w:pPr>
              <w:rPr>
                <w:rFonts w:ascii="Arial" w:hAnsi="Arial" w:cs="Arial"/>
                <w:noProof/>
                <w:color w:val="FF0000"/>
                <w:sz w:val="22"/>
                <w:szCs w:val="22"/>
                <w:lang w:val="en-AU" w:eastAsia="en-AU"/>
              </w:rPr>
            </w:pPr>
          </w:p>
          <w:p w:rsidR="00620C8D" w:rsidRDefault="00620C8D" w:rsidP="008939A8">
            <w:pPr>
              <w:rPr>
                <w:rFonts w:ascii="Arial" w:hAnsi="Arial" w:cs="Arial"/>
                <w:noProof/>
                <w:color w:val="FF0000"/>
                <w:sz w:val="22"/>
                <w:szCs w:val="22"/>
                <w:lang w:val="en-AU" w:eastAsia="en-AU"/>
              </w:rPr>
            </w:pPr>
          </w:p>
        </w:tc>
        <w:tc>
          <w:tcPr>
            <w:tcW w:w="3207" w:type="dxa"/>
          </w:tcPr>
          <w:p w:rsidR="00620C8D" w:rsidRDefault="00507CE9" w:rsidP="008939A8">
            <w:pPr>
              <w:rPr>
                <w:rFonts w:ascii="Arial" w:hAnsi="Arial" w:cs="Arial"/>
                <w:noProof/>
                <w:color w:val="FF0000"/>
                <w:sz w:val="22"/>
                <w:szCs w:val="22"/>
                <w:lang w:val="en-AU" w:eastAsia="en-AU"/>
              </w:rPr>
            </w:pPr>
            <w:r>
              <w:rPr>
                <w:rFonts w:ascii="Arial" w:hAnsi="Arial" w:cs="Arial"/>
                <w:noProof/>
                <w:color w:val="FF0000"/>
                <w:sz w:val="22"/>
                <w:szCs w:val="22"/>
                <w:lang w:val="en-AU" w:eastAsia="en-AU"/>
              </w:rPr>
              <mc:AlternateContent>
                <mc:Choice Requires="wps">
                  <w:drawing>
                    <wp:anchor distT="0" distB="0" distL="114300" distR="114300" simplePos="0" relativeHeight="251698176" behindDoc="0" locked="0" layoutInCell="1" allowOverlap="1" wp14:anchorId="5ADB0E5A" wp14:editId="20C26891">
                      <wp:simplePos x="0" y="0"/>
                      <wp:positionH relativeFrom="column">
                        <wp:posOffset>-1408</wp:posOffset>
                      </wp:positionH>
                      <wp:positionV relativeFrom="paragraph">
                        <wp:posOffset>10161</wp:posOffset>
                      </wp:positionV>
                      <wp:extent cx="1693628" cy="683812"/>
                      <wp:effectExtent l="0" t="0" r="20955" b="21590"/>
                      <wp:wrapNone/>
                      <wp:docPr id="25" name="Rounded Rectangle 25"/>
                      <wp:cNvGraphicFramePr/>
                      <a:graphic xmlns:a="http://schemas.openxmlformats.org/drawingml/2006/main">
                        <a:graphicData uri="http://schemas.microsoft.com/office/word/2010/wordprocessingShape">
                          <wps:wsp>
                            <wps:cNvSpPr/>
                            <wps:spPr>
                              <a:xfrm>
                                <a:off x="0" y="0"/>
                                <a:ext cx="1693628" cy="683812"/>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B53717" w:rsidRPr="00E07727" w:rsidRDefault="00B53717" w:rsidP="00620C8D">
                                  <w:pPr>
                                    <w:rPr>
                                      <w:rFonts w:ascii="Arial" w:hAnsi="Arial" w:cs="Arial"/>
                                      <w:sz w:val="20"/>
                                      <w:lang w:val="en-AU"/>
                                    </w:rPr>
                                  </w:pPr>
                                  <w:r>
                                    <w:rPr>
                                      <w:rFonts w:ascii="Arial" w:hAnsi="Arial" w:cs="Arial"/>
                                      <w:b/>
                                      <w:bCs/>
                                      <w:sz w:val="20"/>
                                      <w:lang w:val="en-AU"/>
                                    </w:rPr>
                                    <w:t xml:space="preserve">7. </w:t>
                                  </w:r>
                                  <w:r w:rsidRPr="00E07727">
                                    <w:rPr>
                                      <w:rFonts w:ascii="Arial" w:hAnsi="Arial" w:cs="Arial"/>
                                      <w:b/>
                                      <w:bCs/>
                                      <w:sz w:val="20"/>
                                      <w:lang w:val="en-AU"/>
                                    </w:rPr>
                                    <w:t>Explore developer-owned affordable rental housing models</w:t>
                                  </w:r>
                                </w:p>
                                <w:p w:rsidR="00B53717" w:rsidRDefault="00B53717" w:rsidP="00620C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DB0E5A" id="Rounded Rectangle 25" o:spid="_x0000_s1032" style="position:absolute;margin-left:-.1pt;margin-top:.8pt;width:133.35pt;height:53.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" fillcolor="#f79646 [3209]" strokecolor="#243f60 [1604]" strokeweight="2pt">
                      <v:textbox>
                        <w:txbxContent>
                          <w:p w:rsidR="00B53717" w:rsidRPr="00E07727" w:rsidRDefault="00B53717" w:rsidP="00620C8D">
                            <w:pPr>
                              <w:rPr>
                                <w:rFonts w:ascii="Arial" w:hAnsi="Arial" w:cs="Arial"/>
                                <w:sz w:val="20"/>
                                <w:lang w:val="en-AU"/>
                              </w:rPr>
                            </w:pPr>
                            <w:r>
                              <w:rPr>
                                <w:rFonts w:ascii="Arial" w:hAnsi="Arial" w:cs="Arial"/>
                                <w:b/>
                                <w:bCs/>
                                <w:sz w:val="20"/>
                                <w:lang w:val="en-AU"/>
                              </w:rPr>
                              <w:t xml:space="preserve">7. </w:t>
                            </w:r>
                            <w:r w:rsidRPr="00E07727">
                              <w:rPr>
                                <w:rFonts w:ascii="Arial" w:hAnsi="Arial" w:cs="Arial"/>
                                <w:b/>
                                <w:bCs/>
                                <w:sz w:val="20"/>
                                <w:lang w:val="en-AU"/>
                              </w:rPr>
                              <w:t>Explore developer-owned affordable rental housing models</w:t>
                            </w:r>
                          </w:p>
                          <w:p w:rsidR="00B53717" w:rsidRDefault="00B53717" w:rsidP="00620C8D">
                            <w:pPr>
                              <w:jc w:val="center"/>
                            </w:pPr>
                          </w:p>
                        </w:txbxContent>
                      </v:textbox>
                    </v:roundrect>
                  </w:pict>
                </mc:Fallback>
              </mc:AlternateContent>
            </w:r>
          </w:p>
        </w:tc>
        <w:tc>
          <w:tcPr>
            <w:tcW w:w="2909" w:type="dxa"/>
          </w:tcPr>
          <w:p w:rsidR="00620C8D" w:rsidRDefault="00620C8D" w:rsidP="008939A8">
            <w:pPr>
              <w:rPr>
                <w:rFonts w:ascii="Arial" w:hAnsi="Arial" w:cs="Arial"/>
                <w:color w:val="FF0000"/>
                <w:sz w:val="22"/>
                <w:szCs w:val="22"/>
              </w:rPr>
            </w:pPr>
          </w:p>
        </w:tc>
      </w:tr>
    </w:tbl>
    <w:p w:rsidR="00620C8D" w:rsidRDefault="00620C8D" w:rsidP="003F51BA">
      <w:pPr>
        <w:rPr>
          <w:rFonts w:ascii="Arial" w:hAnsi="Arial" w:cs="Arial"/>
          <w:b/>
          <w:sz w:val="22"/>
          <w:szCs w:val="22"/>
        </w:rPr>
      </w:pPr>
    </w:p>
    <w:p w:rsidR="00A05B19" w:rsidRDefault="00A05B19" w:rsidP="003579FE">
      <w:pPr>
        <w:ind w:firstLine="720"/>
        <w:rPr>
          <w:rFonts w:ascii="Arial" w:hAnsi="Arial" w:cs="Arial"/>
          <w:b/>
          <w:sz w:val="22"/>
          <w:szCs w:val="22"/>
        </w:rPr>
      </w:pPr>
    </w:p>
    <w:p w:rsidR="003F51BA" w:rsidRPr="0068769E" w:rsidRDefault="008E10E6" w:rsidP="00D16324">
      <w:pPr>
        <w:ind w:firstLine="720"/>
        <w:jc w:val="both"/>
        <w:rPr>
          <w:rFonts w:ascii="Arial" w:hAnsi="Arial" w:cs="Arial"/>
          <w:b/>
          <w:sz w:val="22"/>
          <w:szCs w:val="22"/>
        </w:rPr>
      </w:pPr>
      <w:r w:rsidRPr="0068769E">
        <w:rPr>
          <w:rFonts w:ascii="Arial" w:hAnsi="Arial" w:cs="Arial"/>
          <w:b/>
          <w:sz w:val="22"/>
          <w:szCs w:val="22"/>
        </w:rPr>
        <w:t xml:space="preserve">Action </w:t>
      </w:r>
      <w:r w:rsidR="00EA403B" w:rsidRPr="0068769E">
        <w:rPr>
          <w:rFonts w:ascii="Arial" w:hAnsi="Arial" w:cs="Arial"/>
          <w:b/>
          <w:sz w:val="22"/>
          <w:szCs w:val="22"/>
        </w:rPr>
        <w:t>4</w:t>
      </w:r>
      <w:r w:rsidRPr="0068769E">
        <w:rPr>
          <w:rFonts w:ascii="Arial" w:hAnsi="Arial" w:cs="Arial"/>
          <w:b/>
          <w:sz w:val="22"/>
          <w:szCs w:val="22"/>
        </w:rPr>
        <w:t>.</w:t>
      </w:r>
      <w:r w:rsidR="00A16ECA" w:rsidRPr="0068769E">
        <w:rPr>
          <w:rFonts w:ascii="Arial" w:hAnsi="Arial" w:cs="Arial"/>
          <w:b/>
          <w:sz w:val="22"/>
          <w:szCs w:val="22"/>
        </w:rPr>
        <w:t xml:space="preserve"> </w:t>
      </w:r>
      <w:r w:rsidR="00A16ECA" w:rsidRPr="0068769E">
        <w:rPr>
          <w:rFonts w:ascii="Arial" w:hAnsi="Arial" w:cs="Arial"/>
          <w:b/>
          <w:bCs/>
          <w:sz w:val="22"/>
          <w:szCs w:val="22"/>
          <w:lang w:val="en-AU"/>
        </w:rPr>
        <w:t>Continue to utilise VPAs to secure future affordable housing stock</w:t>
      </w:r>
    </w:p>
    <w:p w:rsidR="00A05B19" w:rsidRDefault="003E3486" w:rsidP="00D16324">
      <w:pPr>
        <w:ind w:left="720"/>
        <w:jc w:val="both"/>
        <w:rPr>
          <w:rFonts w:ascii="Arial" w:hAnsi="Arial" w:cs="Arial"/>
          <w:sz w:val="22"/>
          <w:szCs w:val="22"/>
        </w:rPr>
      </w:pPr>
      <w:r w:rsidRPr="0068769E">
        <w:rPr>
          <w:rFonts w:ascii="Arial" w:hAnsi="Arial" w:cs="Arial"/>
          <w:sz w:val="22"/>
          <w:szCs w:val="22"/>
        </w:rPr>
        <w:t xml:space="preserve">Until such time as Council is able to mandate the required proportion of affordable housing across the </w:t>
      </w:r>
      <w:r w:rsidR="000C2A17">
        <w:rPr>
          <w:rFonts w:ascii="Arial" w:hAnsi="Arial" w:cs="Arial"/>
          <w:sz w:val="22"/>
          <w:szCs w:val="22"/>
        </w:rPr>
        <w:t>local government area</w:t>
      </w:r>
      <w:r w:rsidRPr="0068769E">
        <w:rPr>
          <w:rFonts w:ascii="Arial" w:hAnsi="Arial" w:cs="Arial"/>
          <w:sz w:val="22"/>
          <w:szCs w:val="22"/>
        </w:rPr>
        <w:t xml:space="preserve">, it will continue to seek affordable </w:t>
      </w:r>
      <w:r w:rsidR="00500207" w:rsidRPr="0068769E">
        <w:rPr>
          <w:rFonts w:ascii="Arial" w:hAnsi="Arial" w:cs="Arial"/>
          <w:sz w:val="22"/>
          <w:szCs w:val="22"/>
        </w:rPr>
        <w:t xml:space="preserve">rental </w:t>
      </w:r>
      <w:r w:rsidRPr="0068769E">
        <w:rPr>
          <w:rFonts w:ascii="Arial" w:hAnsi="Arial" w:cs="Arial"/>
          <w:sz w:val="22"/>
          <w:szCs w:val="22"/>
        </w:rPr>
        <w:t xml:space="preserve">housing through voluntary planning agreements (VPAs) </w:t>
      </w:r>
      <w:r w:rsidR="001A77A6" w:rsidRPr="0068769E">
        <w:rPr>
          <w:rFonts w:ascii="Arial" w:hAnsi="Arial" w:cs="Arial"/>
          <w:sz w:val="22"/>
          <w:szCs w:val="22"/>
        </w:rPr>
        <w:t xml:space="preserve">as allowed for under </w:t>
      </w:r>
      <w:r w:rsidR="00D33997" w:rsidRPr="0068769E">
        <w:rPr>
          <w:rFonts w:ascii="Arial" w:hAnsi="Arial" w:cs="Arial"/>
          <w:sz w:val="22"/>
          <w:szCs w:val="22"/>
        </w:rPr>
        <w:t xml:space="preserve">Section </w:t>
      </w:r>
      <w:r w:rsidR="001A77A6" w:rsidRPr="0068769E">
        <w:rPr>
          <w:rFonts w:ascii="Arial" w:hAnsi="Arial" w:cs="Arial"/>
          <w:sz w:val="22"/>
          <w:szCs w:val="22"/>
        </w:rPr>
        <w:t xml:space="preserve">93F of the Environmental Planning and Assessment Act 1979. </w:t>
      </w:r>
      <w:r w:rsidR="00DB68BA" w:rsidRPr="0068769E">
        <w:rPr>
          <w:rFonts w:ascii="Arial" w:hAnsi="Arial" w:cs="Arial"/>
          <w:sz w:val="22"/>
          <w:szCs w:val="22"/>
        </w:rPr>
        <w:t xml:space="preserve">VPAs will be negotiated </w:t>
      </w:r>
      <w:r w:rsidR="0068769E">
        <w:rPr>
          <w:rFonts w:ascii="Arial" w:hAnsi="Arial" w:cs="Arial"/>
          <w:sz w:val="22"/>
          <w:szCs w:val="22"/>
        </w:rPr>
        <w:t xml:space="preserve">in accordance with Council’s </w:t>
      </w:r>
      <w:r w:rsidR="000C2A17">
        <w:rPr>
          <w:rFonts w:ascii="Arial" w:hAnsi="Arial" w:cs="Arial"/>
          <w:sz w:val="22"/>
          <w:szCs w:val="22"/>
        </w:rPr>
        <w:t xml:space="preserve">draft </w:t>
      </w:r>
      <w:r w:rsidR="005F7B3B">
        <w:rPr>
          <w:rFonts w:ascii="Arial" w:hAnsi="Arial" w:cs="Arial"/>
          <w:sz w:val="22"/>
          <w:szCs w:val="22"/>
        </w:rPr>
        <w:t>VPA Policy</w:t>
      </w:r>
      <w:r w:rsidR="001D0D96">
        <w:rPr>
          <w:rFonts w:ascii="Arial" w:hAnsi="Arial" w:cs="Arial"/>
          <w:sz w:val="22"/>
          <w:szCs w:val="22"/>
        </w:rPr>
        <w:t xml:space="preserve"> in parallel</w:t>
      </w:r>
      <w:r w:rsidR="005F7B3B">
        <w:rPr>
          <w:rFonts w:ascii="Arial" w:hAnsi="Arial" w:cs="Arial"/>
          <w:sz w:val="22"/>
          <w:szCs w:val="22"/>
        </w:rPr>
        <w:t xml:space="preserve">, </w:t>
      </w:r>
      <w:r w:rsidR="0068769E">
        <w:rPr>
          <w:rFonts w:ascii="Arial" w:hAnsi="Arial" w:cs="Arial"/>
          <w:sz w:val="22"/>
          <w:szCs w:val="22"/>
        </w:rPr>
        <w:t>and a base rate contribution to affordable housing that will be phased in to ensure that it does not negatively impact development</w:t>
      </w:r>
      <w:r w:rsidR="002C7AB3">
        <w:rPr>
          <w:rFonts w:ascii="Arial" w:hAnsi="Arial" w:cs="Arial"/>
          <w:sz w:val="22"/>
          <w:szCs w:val="22"/>
        </w:rPr>
        <w:t xml:space="preserve"> by allowing the market to adjust over a period of time</w:t>
      </w:r>
      <w:r w:rsidR="00974E04">
        <w:rPr>
          <w:rFonts w:ascii="Arial" w:hAnsi="Arial" w:cs="Arial"/>
          <w:sz w:val="22"/>
          <w:szCs w:val="22"/>
        </w:rPr>
        <w:t>,</w:t>
      </w:r>
      <w:r w:rsidR="0068769E">
        <w:rPr>
          <w:rFonts w:ascii="Arial" w:hAnsi="Arial" w:cs="Arial"/>
          <w:sz w:val="22"/>
          <w:szCs w:val="22"/>
        </w:rPr>
        <w:t xml:space="preserve"> as follows:</w:t>
      </w:r>
    </w:p>
    <w:p w:rsidR="008939A8" w:rsidRPr="00D86B5F" w:rsidRDefault="008939A8" w:rsidP="00317AE2">
      <w:pPr>
        <w:rPr>
          <w:rFonts w:ascii="Arial" w:hAnsi="Arial" w:cs="Arial"/>
          <w:b/>
          <w:sz w:val="22"/>
          <w:szCs w:val="22"/>
        </w:rPr>
      </w:pPr>
    </w:p>
    <w:tbl>
      <w:tblPr>
        <w:tblStyle w:val="TableGrid"/>
        <w:tblW w:w="0" w:type="auto"/>
        <w:tblInd w:w="720" w:type="dxa"/>
        <w:tblLook w:val="04A0" w:firstRow="1" w:lastRow="0" w:firstColumn="1" w:lastColumn="0" w:noHBand="0" w:noVBand="1"/>
      </w:tblPr>
      <w:tblGrid>
        <w:gridCol w:w="1685"/>
        <w:gridCol w:w="1985"/>
        <w:gridCol w:w="2551"/>
        <w:gridCol w:w="2453"/>
      </w:tblGrid>
      <w:tr w:rsidR="00DF22AD" w:rsidTr="002C7AB3">
        <w:tc>
          <w:tcPr>
            <w:tcW w:w="8674" w:type="dxa"/>
            <w:gridSpan w:val="4"/>
            <w:shd w:val="clear" w:color="auto" w:fill="FBD4B4" w:themeFill="accent6" w:themeFillTint="66"/>
          </w:tcPr>
          <w:p w:rsidR="00DF22AD" w:rsidRPr="00D86B5F" w:rsidRDefault="00DF22AD" w:rsidP="003579FE">
            <w:pPr>
              <w:rPr>
                <w:rFonts w:ascii="Arial" w:hAnsi="Arial" w:cs="Arial"/>
                <w:sz w:val="22"/>
                <w:szCs w:val="22"/>
              </w:rPr>
            </w:pPr>
            <w:r>
              <w:rPr>
                <w:rFonts w:ascii="Arial" w:hAnsi="Arial" w:cs="Arial"/>
                <w:b/>
                <w:sz w:val="22"/>
                <w:szCs w:val="22"/>
              </w:rPr>
              <w:t xml:space="preserve">Table 5. </w:t>
            </w:r>
            <w:r w:rsidRPr="00D86B5F">
              <w:rPr>
                <w:rFonts w:ascii="Arial" w:hAnsi="Arial" w:cs="Arial"/>
                <w:b/>
                <w:sz w:val="22"/>
                <w:szCs w:val="22"/>
              </w:rPr>
              <w:t>Affordable Housing Yield Percentages</w:t>
            </w:r>
            <w:r>
              <w:rPr>
                <w:rFonts w:ascii="Arial" w:hAnsi="Arial" w:cs="Arial"/>
                <w:b/>
                <w:sz w:val="22"/>
                <w:szCs w:val="22"/>
              </w:rPr>
              <w:t xml:space="preserve"> for VPAs</w:t>
            </w:r>
          </w:p>
        </w:tc>
      </w:tr>
      <w:tr w:rsidR="0099681F" w:rsidTr="0099681F">
        <w:tc>
          <w:tcPr>
            <w:tcW w:w="1685" w:type="dxa"/>
            <w:shd w:val="clear" w:color="auto" w:fill="FBD4B4" w:themeFill="accent6" w:themeFillTint="66"/>
          </w:tcPr>
          <w:p w:rsidR="0099681F" w:rsidRPr="00D86B5F" w:rsidRDefault="0099681F" w:rsidP="00D86B5F">
            <w:pPr>
              <w:rPr>
                <w:rFonts w:ascii="Arial" w:hAnsi="Arial" w:cs="Arial"/>
                <w:sz w:val="22"/>
                <w:szCs w:val="22"/>
              </w:rPr>
            </w:pPr>
            <w:r w:rsidRPr="00D86B5F">
              <w:rPr>
                <w:rFonts w:ascii="Arial" w:hAnsi="Arial" w:cs="Arial"/>
                <w:sz w:val="22"/>
                <w:szCs w:val="22"/>
              </w:rPr>
              <w:t xml:space="preserve">Development </w:t>
            </w:r>
            <w:r>
              <w:rPr>
                <w:rFonts w:ascii="Arial" w:hAnsi="Arial" w:cs="Arial"/>
                <w:sz w:val="22"/>
                <w:szCs w:val="22"/>
              </w:rPr>
              <w:t>size/type</w:t>
            </w:r>
          </w:p>
        </w:tc>
        <w:tc>
          <w:tcPr>
            <w:tcW w:w="1985" w:type="dxa"/>
            <w:shd w:val="clear" w:color="auto" w:fill="FBD4B4" w:themeFill="accent6" w:themeFillTint="66"/>
          </w:tcPr>
          <w:p w:rsidR="0099681F" w:rsidRPr="00D86B5F" w:rsidRDefault="0099681F" w:rsidP="00D86B5F">
            <w:pPr>
              <w:rPr>
                <w:rFonts w:ascii="Arial" w:hAnsi="Arial" w:cs="Arial"/>
                <w:sz w:val="22"/>
                <w:szCs w:val="22"/>
              </w:rPr>
            </w:pPr>
            <w:r w:rsidRPr="00D86B5F">
              <w:rPr>
                <w:rFonts w:ascii="Arial" w:hAnsi="Arial" w:cs="Arial"/>
                <w:sz w:val="22"/>
                <w:szCs w:val="22"/>
              </w:rPr>
              <w:t>From date of Policy adoption</w:t>
            </w:r>
          </w:p>
        </w:tc>
        <w:tc>
          <w:tcPr>
            <w:tcW w:w="2551" w:type="dxa"/>
            <w:shd w:val="clear" w:color="auto" w:fill="FBD4B4" w:themeFill="accent6" w:themeFillTint="66"/>
          </w:tcPr>
          <w:p w:rsidR="0099681F" w:rsidRPr="00D86B5F" w:rsidRDefault="0099681F" w:rsidP="0033484B">
            <w:pPr>
              <w:rPr>
                <w:rFonts w:ascii="Arial" w:hAnsi="Arial" w:cs="Arial"/>
                <w:sz w:val="22"/>
                <w:szCs w:val="22"/>
              </w:rPr>
            </w:pPr>
            <w:r w:rsidRPr="00D86B5F">
              <w:rPr>
                <w:rFonts w:ascii="Arial" w:hAnsi="Arial" w:cs="Arial"/>
                <w:sz w:val="22"/>
                <w:szCs w:val="22"/>
              </w:rPr>
              <w:t xml:space="preserve">After </w:t>
            </w:r>
            <w:r>
              <w:rPr>
                <w:rFonts w:ascii="Arial" w:hAnsi="Arial" w:cs="Arial"/>
                <w:sz w:val="22"/>
                <w:szCs w:val="22"/>
              </w:rPr>
              <w:t>12 months from date of</w:t>
            </w:r>
            <w:r w:rsidRPr="00D86B5F">
              <w:rPr>
                <w:rFonts w:ascii="Arial" w:hAnsi="Arial" w:cs="Arial"/>
                <w:sz w:val="22"/>
                <w:szCs w:val="22"/>
              </w:rPr>
              <w:t xml:space="preserve"> Policy adoption</w:t>
            </w:r>
          </w:p>
        </w:tc>
        <w:tc>
          <w:tcPr>
            <w:tcW w:w="2453" w:type="dxa"/>
            <w:shd w:val="clear" w:color="auto" w:fill="FBD4B4" w:themeFill="accent6" w:themeFillTint="66"/>
          </w:tcPr>
          <w:p w:rsidR="0099681F" w:rsidRPr="00D86B5F" w:rsidRDefault="0099681F" w:rsidP="0033484B">
            <w:pPr>
              <w:rPr>
                <w:rFonts w:ascii="Arial" w:hAnsi="Arial" w:cs="Arial"/>
                <w:sz w:val="22"/>
                <w:szCs w:val="22"/>
              </w:rPr>
            </w:pPr>
            <w:r w:rsidRPr="00D86B5F">
              <w:rPr>
                <w:rFonts w:ascii="Arial" w:hAnsi="Arial" w:cs="Arial"/>
                <w:sz w:val="22"/>
                <w:szCs w:val="22"/>
              </w:rPr>
              <w:t xml:space="preserve">After </w:t>
            </w:r>
            <w:r>
              <w:rPr>
                <w:rFonts w:ascii="Arial" w:hAnsi="Arial" w:cs="Arial"/>
                <w:sz w:val="22"/>
                <w:szCs w:val="22"/>
              </w:rPr>
              <w:t>24 months from date of</w:t>
            </w:r>
            <w:r w:rsidRPr="00D86B5F">
              <w:rPr>
                <w:rFonts w:ascii="Arial" w:hAnsi="Arial" w:cs="Arial"/>
                <w:sz w:val="22"/>
                <w:szCs w:val="22"/>
              </w:rPr>
              <w:t xml:space="preserve"> Policy adoption</w:t>
            </w:r>
          </w:p>
        </w:tc>
      </w:tr>
      <w:tr w:rsidR="00774CE9" w:rsidTr="0099681F">
        <w:tc>
          <w:tcPr>
            <w:tcW w:w="1685" w:type="dxa"/>
            <w:shd w:val="clear" w:color="auto" w:fill="FFFFFF" w:themeFill="background1"/>
          </w:tcPr>
          <w:p w:rsidR="00774CE9" w:rsidRPr="00774CE9" w:rsidRDefault="00774CE9" w:rsidP="00774CE9">
            <w:pPr>
              <w:rPr>
                <w:rFonts w:ascii="Arial" w:eastAsia="Calibri" w:hAnsi="Arial" w:cs="Arial"/>
                <w:sz w:val="22"/>
                <w:szCs w:val="22"/>
              </w:rPr>
            </w:pPr>
            <w:r w:rsidRPr="00774CE9">
              <w:rPr>
                <w:rFonts w:ascii="Arial" w:eastAsia="Calibri" w:hAnsi="Arial" w:cs="Arial"/>
                <w:sz w:val="22"/>
                <w:szCs w:val="22"/>
              </w:rPr>
              <w:t>Planning proposals and development applications of 20 dwellings or less</w:t>
            </w:r>
          </w:p>
        </w:tc>
        <w:tc>
          <w:tcPr>
            <w:tcW w:w="1985" w:type="dxa"/>
            <w:shd w:val="clear" w:color="auto" w:fill="FFFFFF" w:themeFill="background1"/>
          </w:tcPr>
          <w:p w:rsidR="00774CE9" w:rsidRPr="00774CE9" w:rsidRDefault="00774CE9" w:rsidP="00774CE9">
            <w:pPr>
              <w:rPr>
                <w:rFonts w:ascii="Arial" w:eastAsia="Calibri" w:hAnsi="Arial" w:cs="Arial"/>
                <w:sz w:val="22"/>
                <w:szCs w:val="22"/>
              </w:rPr>
            </w:pPr>
            <w:r w:rsidRPr="00774CE9">
              <w:rPr>
                <w:rFonts w:ascii="Arial" w:eastAsia="Calibri" w:hAnsi="Arial" w:cs="Arial"/>
                <w:sz w:val="22"/>
                <w:szCs w:val="22"/>
              </w:rPr>
              <w:t>No contribution</w:t>
            </w:r>
          </w:p>
          <w:p w:rsidR="00774CE9" w:rsidRPr="00774CE9" w:rsidRDefault="00774CE9" w:rsidP="00774CE9">
            <w:pPr>
              <w:rPr>
                <w:rFonts w:ascii="Arial" w:eastAsia="Calibri" w:hAnsi="Arial" w:cs="Arial"/>
                <w:sz w:val="22"/>
                <w:szCs w:val="22"/>
              </w:rPr>
            </w:pPr>
          </w:p>
        </w:tc>
        <w:tc>
          <w:tcPr>
            <w:tcW w:w="2551" w:type="dxa"/>
            <w:shd w:val="clear" w:color="auto" w:fill="FFFFFF" w:themeFill="background1"/>
          </w:tcPr>
          <w:p w:rsidR="00774CE9" w:rsidRPr="00774CE9" w:rsidRDefault="00774CE9" w:rsidP="00774CE9">
            <w:pPr>
              <w:rPr>
                <w:rFonts w:ascii="Arial" w:eastAsia="Calibri" w:hAnsi="Arial" w:cs="Arial"/>
                <w:sz w:val="22"/>
                <w:szCs w:val="22"/>
              </w:rPr>
            </w:pPr>
            <w:r w:rsidRPr="00774CE9">
              <w:rPr>
                <w:rFonts w:ascii="Arial" w:eastAsia="Calibri" w:hAnsi="Arial" w:cs="Arial"/>
                <w:sz w:val="22"/>
                <w:szCs w:val="22"/>
              </w:rPr>
              <w:t>No contribution</w:t>
            </w:r>
          </w:p>
          <w:p w:rsidR="00774CE9" w:rsidRPr="00774CE9" w:rsidRDefault="00774CE9" w:rsidP="00774CE9">
            <w:pPr>
              <w:rPr>
                <w:rFonts w:ascii="Arial" w:eastAsia="Calibri" w:hAnsi="Arial" w:cs="Arial"/>
                <w:sz w:val="22"/>
                <w:szCs w:val="22"/>
              </w:rPr>
            </w:pPr>
          </w:p>
        </w:tc>
        <w:tc>
          <w:tcPr>
            <w:tcW w:w="2453" w:type="dxa"/>
            <w:shd w:val="clear" w:color="auto" w:fill="FFFFFF" w:themeFill="background1"/>
          </w:tcPr>
          <w:p w:rsidR="00774CE9" w:rsidRPr="00774CE9" w:rsidRDefault="00774CE9" w:rsidP="00774CE9">
            <w:pPr>
              <w:rPr>
                <w:rFonts w:ascii="Arial" w:eastAsia="Calibri" w:hAnsi="Arial" w:cs="Arial"/>
                <w:sz w:val="22"/>
                <w:szCs w:val="22"/>
              </w:rPr>
            </w:pPr>
            <w:r w:rsidRPr="00774CE9">
              <w:rPr>
                <w:rFonts w:ascii="Arial" w:eastAsia="Calibri" w:hAnsi="Arial" w:cs="Arial"/>
                <w:sz w:val="22"/>
                <w:szCs w:val="22"/>
              </w:rPr>
              <w:t>No contribution</w:t>
            </w:r>
          </w:p>
          <w:p w:rsidR="00774CE9" w:rsidRPr="00774CE9" w:rsidRDefault="00774CE9" w:rsidP="00774CE9">
            <w:pPr>
              <w:rPr>
                <w:rFonts w:ascii="Arial" w:eastAsia="Calibri" w:hAnsi="Arial" w:cs="Arial"/>
                <w:sz w:val="22"/>
                <w:szCs w:val="22"/>
              </w:rPr>
            </w:pPr>
          </w:p>
        </w:tc>
      </w:tr>
      <w:tr w:rsidR="00774CE9" w:rsidTr="0099681F">
        <w:tc>
          <w:tcPr>
            <w:tcW w:w="1685" w:type="dxa"/>
            <w:vMerge w:val="restart"/>
          </w:tcPr>
          <w:p w:rsidR="00774CE9" w:rsidRPr="00774CE9" w:rsidRDefault="00774CE9" w:rsidP="00774CE9">
            <w:pPr>
              <w:rPr>
                <w:rFonts w:ascii="Arial" w:eastAsia="Calibri" w:hAnsi="Arial" w:cs="Arial"/>
                <w:sz w:val="22"/>
                <w:szCs w:val="22"/>
              </w:rPr>
            </w:pPr>
            <w:r w:rsidRPr="00774CE9">
              <w:rPr>
                <w:rFonts w:ascii="Arial" w:eastAsia="Calibri" w:hAnsi="Arial" w:cs="Arial"/>
                <w:sz w:val="22"/>
                <w:szCs w:val="22"/>
              </w:rPr>
              <w:t xml:space="preserve">Planning proposals and development applications that comprise </w:t>
            </w:r>
            <w:r w:rsidRPr="00774CE9">
              <w:rPr>
                <w:rFonts w:ascii="Arial" w:eastAsia="Calibri" w:hAnsi="Arial" w:cs="Arial"/>
                <w:sz w:val="22"/>
                <w:szCs w:val="22"/>
              </w:rPr>
              <w:lastRenderedPageBreak/>
              <w:t>21 or more dwellings</w:t>
            </w:r>
          </w:p>
          <w:p w:rsidR="00774CE9" w:rsidRPr="00774CE9" w:rsidRDefault="00774CE9" w:rsidP="00774CE9">
            <w:pPr>
              <w:rPr>
                <w:rFonts w:ascii="Arial" w:eastAsia="Calibri" w:hAnsi="Arial" w:cs="Arial"/>
                <w:sz w:val="22"/>
                <w:szCs w:val="22"/>
              </w:rPr>
            </w:pPr>
          </w:p>
          <w:p w:rsidR="00774CE9" w:rsidRPr="00774CE9" w:rsidRDefault="00774CE9" w:rsidP="00774CE9">
            <w:pPr>
              <w:rPr>
                <w:rFonts w:ascii="Arial" w:eastAsia="Calibri" w:hAnsi="Arial" w:cs="Arial"/>
                <w:sz w:val="22"/>
                <w:szCs w:val="22"/>
              </w:rPr>
            </w:pPr>
          </w:p>
          <w:p w:rsidR="00774CE9" w:rsidRPr="00774CE9" w:rsidRDefault="00774CE9" w:rsidP="00774CE9">
            <w:pPr>
              <w:rPr>
                <w:rFonts w:ascii="Arial" w:eastAsia="Calibri" w:hAnsi="Arial" w:cs="Arial"/>
                <w:sz w:val="22"/>
                <w:szCs w:val="22"/>
              </w:rPr>
            </w:pPr>
          </w:p>
        </w:tc>
        <w:tc>
          <w:tcPr>
            <w:tcW w:w="1985" w:type="dxa"/>
            <w:vMerge w:val="restart"/>
          </w:tcPr>
          <w:p w:rsidR="00774CE9" w:rsidRPr="00774CE9" w:rsidRDefault="00774CE9" w:rsidP="00BB3992">
            <w:pPr>
              <w:rPr>
                <w:rFonts w:ascii="Arial" w:eastAsia="Calibri" w:hAnsi="Arial" w:cs="Arial"/>
                <w:sz w:val="22"/>
                <w:szCs w:val="22"/>
              </w:rPr>
            </w:pPr>
            <w:r w:rsidRPr="00774CE9">
              <w:rPr>
                <w:rFonts w:ascii="Arial" w:eastAsia="Calibri" w:hAnsi="Arial" w:cs="Arial"/>
                <w:sz w:val="22"/>
                <w:szCs w:val="22"/>
              </w:rPr>
              <w:lastRenderedPageBreak/>
              <w:t xml:space="preserve">For planning proposals:10% of the total </w:t>
            </w:r>
            <w:r w:rsidR="00BB3992">
              <w:rPr>
                <w:rFonts w:ascii="Arial" w:eastAsia="Calibri" w:hAnsi="Arial" w:cs="Arial"/>
                <w:sz w:val="22"/>
                <w:szCs w:val="22"/>
              </w:rPr>
              <w:t>value</w:t>
            </w:r>
            <w:r w:rsidRPr="00774CE9">
              <w:rPr>
                <w:rFonts w:ascii="Arial" w:eastAsia="Calibri" w:hAnsi="Arial" w:cs="Arial"/>
                <w:sz w:val="22"/>
                <w:szCs w:val="22"/>
              </w:rPr>
              <w:t xml:space="preserve"> uplift of the development will be dedicated to </w:t>
            </w:r>
            <w:r w:rsidRPr="00774CE9">
              <w:rPr>
                <w:rFonts w:ascii="Arial" w:eastAsia="Calibri" w:hAnsi="Arial" w:cs="Arial"/>
                <w:sz w:val="22"/>
                <w:szCs w:val="22"/>
              </w:rPr>
              <w:lastRenderedPageBreak/>
              <w:t>Council as cash or affordable housing dwellings at no cost to Council</w:t>
            </w:r>
            <w:r w:rsidR="00441A0D">
              <w:rPr>
                <w:rFonts w:ascii="Arial" w:eastAsia="Calibri" w:hAnsi="Arial" w:cs="Arial"/>
                <w:sz w:val="22"/>
                <w:szCs w:val="22"/>
              </w:rPr>
              <w:t xml:space="preserve"> (this will be calculated as an inclusive component of the 50% value capture contribution as specified in Council’s draft VPA Policy)</w:t>
            </w:r>
          </w:p>
        </w:tc>
        <w:tc>
          <w:tcPr>
            <w:tcW w:w="2551" w:type="dxa"/>
          </w:tcPr>
          <w:p w:rsidR="00774CE9" w:rsidRPr="00774CE9" w:rsidRDefault="00774CE9" w:rsidP="00774CE9">
            <w:pPr>
              <w:rPr>
                <w:rFonts w:ascii="Arial" w:eastAsia="Calibri" w:hAnsi="Arial" w:cs="Arial"/>
                <w:sz w:val="22"/>
                <w:szCs w:val="22"/>
              </w:rPr>
            </w:pPr>
            <w:r w:rsidRPr="00774CE9">
              <w:rPr>
                <w:rFonts w:ascii="Arial" w:eastAsia="Calibri" w:hAnsi="Arial" w:cs="Arial"/>
                <w:sz w:val="22"/>
                <w:szCs w:val="22"/>
              </w:rPr>
              <w:lastRenderedPageBreak/>
              <w:t xml:space="preserve">For planning proposals and development applications: Cash or dwelling contribution equivalent to 3% of </w:t>
            </w:r>
            <w:r w:rsidR="00BB3992">
              <w:rPr>
                <w:rFonts w:ascii="Arial" w:eastAsia="Calibri" w:hAnsi="Arial" w:cs="Arial"/>
                <w:sz w:val="22"/>
                <w:szCs w:val="22"/>
              </w:rPr>
              <w:t xml:space="preserve">the value of the </w:t>
            </w:r>
            <w:r w:rsidRPr="00774CE9">
              <w:rPr>
                <w:rFonts w:ascii="Arial" w:eastAsia="Calibri" w:hAnsi="Arial" w:cs="Arial"/>
                <w:sz w:val="22"/>
                <w:szCs w:val="22"/>
              </w:rPr>
              <w:t xml:space="preserve">total </w:t>
            </w:r>
            <w:r w:rsidRPr="00774CE9">
              <w:rPr>
                <w:rFonts w:ascii="Arial" w:eastAsia="Calibri" w:hAnsi="Arial" w:cs="Arial"/>
                <w:sz w:val="22"/>
                <w:szCs w:val="22"/>
              </w:rPr>
              <w:lastRenderedPageBreak/>
              <w:t xml:space="preserve">dwellings in the development permissible under existing planning controls (i.e. not including uplift component, where applicable) to be </w:t>
            </w:r>
            <w:r w:rsidR="00BB3992">
              <w:rPr>
                <w:rFonts w:ascii="Arial" w:eastAsia="Calibri" w:hAnsi="Arial" w:cs="Arial"/>
                <w:sz w:val="22"/>
                <w:szCs w:val="22"/>
              </w:rPr>
              <w:t xml:space="preserve">paid as cash or </w:t>
            </w:r>
            <w:r w:rsidRPr="00774CE9">
              <w:rPr>
                <w:rFonts w:ascii="Arial" w:eastAsia="Calibri" w:hAnsi="Arial" w:cs="Arial"/>
                <w:sz w:val="22"/>
                <w:szCs w:val="22"/>
              </w:rPr>
              <w:t>dedicated to Council as affordable housing at no cost to Council</w:t>
            </w:r>
          </w:p>
        </w:tc>
        <w:tc>
          <w:tcPr>
            <w:tcW w:w="2453" w:type="dxa"/>
          </w:tcPr>
          <w:p w:rsidR="00774CE9" w:rsidRPr="00774CE9" w:rsidRDefault="00774CE9" w:rsidP="00774CE9">
            <w:pPr>
              <w:rPr>
                <w:rFonts w:ascii="Arial" w:eastAsia="Calibri" w:hAnsi="Arial" w:cs="Arial"/>
                <w:sz w:val="22"/>
                <w:szCs w:val="22"/>
              </w:rPr>
            </w:pPr>
            <w:r w:rsidRPr="00774CE9">
              <w:rPr>
                <w:rFonts w:ascii="Arial" w:eastAsia="Calibri" w:hAnsi="Arial" w:cs="Arial"/>
                <w:sz w:val="22"/>
                <w:szCs w:val="22"/>
              </w:rPr>
              <w:lastRenderedPageBreak/>
              <w:t xml:space="preserve">For planning proposals and development applications: Cash or dwelling contribution equivalent to 5% of </w:t>
            </w:r>
            <w:r w:rsidR="00BB3992">
              <w:rPr>
                <w:rFonts w:ascii="Arial" w:eastAsia="Calibri" w:hAnsi="Arial" w:cs="Arial"/>
                <w:sz w:val="22"/>
                <w:szCs w:val="22"/>
              </w:rPr>
              <w:lastRenderedPageBreak/>
              <w:t xml:space="preserve">the value of the total </w:t>
            </w:r>
            <w:r w:rsidRPr="00774CE9">
              <w:rPr>
                <w:rFonts w:ascii="Arial" w:eastAsia="Calibri" w:hAnsi="Arial" w:cs="Arial"/>
                <w:sz w:val="22"/>
                <w:szCs w:val="22"/>
              </w:rPr>
              <w:t xml:space="preserve">dwellings in the development permissible under existing planning controls (i.e. not including uplift component, where applicable) to be </w:t>
            </w:r>
            <w:r w:rsidR="00BB3992">
              <w:rPr>
                <w:rFonts w:ascii="Arial" w:eastAsia="Calibri" w:hAnsi="Arial" w:cs="Arial"/>
                <w:sz w:val="22"/>
                <w:szCs w:val="22"/>
              </w:rPr>
              <w:t xml:space="preserve">paid as cash or </w:t>
            </w:r>
            <w:r w:rsidRPr="00774CE9">
              <w:rPr>
                <w:rFonts w:ascii="Arial" w:eastAsia="Calibri" w:hAnsi="Arial" w:cs="Arial"/>
                <w:sz w:val="22"/>
                <w:szCs w:val="22"/>
              </w:rPr>
              <w:t>dedicated to Council as affordable housing at no cost to Council</w:t>
            </w:r>
          </w:p>
        </w:tc>
      </w:tr>
      <w:tr w:rsidR="00774CE9" w:rsidTr="0099681F">
        <w:tc>
          <w:tcPr>
            <w:tcW w:w="1685" w:type="dxa"/>
            <w:vMerge/>
          </w:tcPr>
          <w:p w:rsidR="00774CE9" w:rsidRPr="00774CE9" w:rsidRDefault="00774CE9" w:rsidP="00774CE9">
            <w:pPr>
              <w:rPr>
                <w:rFonts w:ascii="Arial" w:hAnsi="Arial" w:cs="Arial"/>
                <w:sz w:val="22"/>
                <w:szCs w:val="22"/>
              </w:rPr>
            </w:pPr>
          </w:p>
        </w:tc>
        <w:tc>
          <w:tcPr>
            <w:tcW w:w="1985" w:type="dxa"/>
            <w:vMerge/>
          </w:tcPr>
          <w:p w:rsidR="00774CE9" w:rsidRPr="00774CE9" w:rsidRDefault="00774CE9" w:rsidP="00774CE9">
            <w:pPr>
              <w:jc w:val="center"/>
              <w:rPr>
                <w:rFonts w:ascii="Arial" w:hAnsi="Arial" w:cs="Arial"/>
                <w:b/>
                <w:sz w:val="22"/>
                <w:szCs w:val="22"/>
              </w:rPr>
            </w:pPr>
          </w:p>
        </w:tc>
        <w:tc>
          <w:tcPr>
            <w:tcW w:w="2551" w:type="dxa"/>
          </w:tcPr>
          <w:p w:rsidR="00774CE9" w:rsidRPr="00774CE9" w:rsidRDefault="00774CE9" w:rsidP="00774CE9">
            <w:pPr>
              <w:jc w:val="center"/>
              <w:rPr>
                <w:rFonts w:ascii="Arial" w:hAnsi="Arial" w:cs="Arial"/>
                <w:b/>
                <w:sz w:val="22"/>
                <w:szCs w:val="22"/>
              </w:rPr>
            </w:pPr>
            <w:r w:rsidRPr="00774CE9">
              <w:rPr>
                <w:rFonts w:ascii="Arial" w:eastAsia="Calibri" w:hAnsi="Arial" w:cs="Arial"/>
                <w:b/>
                <w:sz w:val="22"/>
                <w:szCs w:val="22"/>
              </w:rPr>
              <w:t>Plus</w:t>
            </w:r>
          </w:p>
        </w:tc>
        <w:tc>
          <w:tcPr>
            <w:tcW w:w="2453" w:type="dxa"/>
          </w:tcPr>
          <w:p w:rsidR="00774CE9" w:rsidRPr="00774CE9" w:rsidRDefault="00774CE9" w:rsidP="00774CE9">
            <w:pPr>
              <w:jc w:val="center"/>
              <w:rPr>
                <w:rFonts w:ascii="Arial" w:hAnsi="Arial" w:cs="Arial"/>
                <w:b/>
                <w:sz w:val="22"/>
                <w:szCs w:val="22"/>
              </w:rPr>
            </w:pPr>
            <w:r w:rsidRPr="00774CE9">
              <w:rPr>
                <w:rFonts w:ascii="Arial" w:eastAsia="Calibri" w:hAnsi="Arial" w:cs="Arial"/>
                <w:b/>
                <w:sz w:val="22"/>
                <w:szCs w:val="22"/>
              </w:rPr>
              <w:t>Plus</w:t>
            </w:r>
          </w:p>
        </w:tc>
      </w:tr>
      <w:tr w:rsidR="00774CE9" w:rsidTr="0099681F">
        <w:tc>
          <w:tcPr>
            <w:tcW w:w="1685" w:type="dxa"/>
            <w:vMerge/>
          </w:tcPr>
          <w:p w:rsidR="00774CE9" w:rsidRPr="00774CE9" w:rsidRDefault="00774CE9" w:rsidP="00774CE9">
            <w:pPr>
              <w:rPr>
                <w:rFonts w:ascii="Arial" w:hAnsi="Arial" w:cs="Arial"/>
                <w:sz w:val="22"/>
                <w:szCs w:val="22"/>
              </w:rPr>
            </w:pPr>
          </w:p>
        </w:tc>
        <w:tc>
          <w:tcPr>
            <w:tcW w:w="1985" w:type="dxa"/>
            <w:vMerge/>
          </w:tcPr>
          <w:p w:rsidR="00774CE9" w:rsidRPr="00774CE9" w:rsidRDefault="00774CE9" w:rsidP="00774CE9">
            <w:pPr>
              <w:rPr>
                <w:rFonts w:ascii="Arial" w:hAnsi="Arial" w:cs="Arial"/>
                <w:sz w:val="22"/>
                <w:szCs w:val="22"/>
              </w:rPr>
            </w:pPr>
          </w:p>
        </w:tc>
        <w:tc>
          <w:tcPr>
            <w:tcW w:w="2551" w:type="dxa"/>
          </w:tcPr>
          <w:p w:rsidR="00774CE9" w:rsidRPr="00774CE9" w:rsidRDefault="00BB3992" w:rsidP="00774CE9">
            <w:pPr>
              <w:rPr>
                <w:rFonts w:ascii="Arial" w:hAnsi="Arial" w:cs="Arial"/>
                <w:sz w:val="22"/>
                <w:szCs w:val="22"/>
              </w:rPr>
            </w:pPr>
            <w:r w:rsidRPr="00774CE9">
              <w:rPr>
                <w:rFonts w:ascii="Arial" w:eastAsia="Calibri" w:hAnsi="Arial" w:cs="Arial"/>
                <w:sz w:val="22"/>
                <w:szCs w:val="22"/>
              </w:rPr>
              <w:t xml:space="preserve">For planning proposals:10% of the total </w:t>
            </w:r>
            <w:r>
              <w:rPr>
                <w:rFonts w:ascii="Arial" w:eastAsia="Calibri" w:hAnsi="Arial" w:cs="Arial"/>
                <w:sz w:val="22"/>
                <w:szCs w:val="22"/>
              </w:rPr>
              <w:t>value</w:t>
            </w:r>
            <w:r w:rsidRPr="00774CE9">
              <w:rPr>
                <w:rFonts w:ascii="Arial" w:eastAsia="Calibri" w:hAnsi="Arial" w:cs="Arial"/>
                <w:sz w:val="22"/>
                <w:szCs w:val="22"/>
              </w:rPr>
              <w:t xml:space="preserve"> uplift of the development will be dedicated to Council as cash or affordable housing dwellings at no cost to Council</w:t>
            </w:r>
            <w:r w:rsidR="00441A0D">
              <w:rPr>
                <w:rFonts w:ascii="Arial" w:eastAsia="Calibri" w:hAnsi="Arial" w:cs="Arial"/>
                <w:sz w:val="22"/>
                <w:szCs w:val="22"/>
              </w:rPr>
              <w:t xml:space="preserve"> (this will be calculated as an inclusive component of the 50% value capture contribution as specified in Council’s draft VPA Policy)</w:t>
            </w:r>
          </w:p>
        </w:tc>
        <w:tc>
          <w:tcPr>
            <w:tcW w:w="2453" w:type="dxa"/>
          </w:tcPr>
          <w:p w:rsidR="00774CE9" w:rsidRPr="00774CE9" w:rsidRDefault="00BB3992" w:rsidP="00774CE9">
            <w:pPr>
              <w:rPr>
                <w:rFonts w:ascii="Arial" w:hAnsi="Arial" w:cs="Arial"/>
                <w:sz w:val="22"/>
                <w:szCs w:val="22"/>
              </w:rPr>
            </w:pPr>
            <w:r w:rsidRPr="00774CE9">
              <w:rPr>
                <w:rFonts w:ascii="Arial" w:eastAsia="Calibri" w:hAnsi="Arial" w:cs="Arial"/>
                <w:sz w:val="22"/>
                <w:szCs w:val="22"/>
              </w:rPr>
              <w:t xml:space="preserve">For planning proposals:10% of the total </w:t>
            </w:r>
            <w:r>
              <w:rPr>
                <w:rFonts w:ascii="Arial" w:eastAsia="Calibri" w:hAnsi="Arial" w:cs="Arial"/>
                <w:sz w:val="22"/>
                <w:szCs w:val="22"/>
              </w:rPr>
              <w:t>value</w:t>
            </w:r>
            <w:r w:rsidRPr="00774CE9">
              <w:rPr>
                <w:rFonts w:ascii="Arial" w:eastAsia="Calibri" w:hAnsi="Arial" w:cs="Arial"/>
                <w:sz w:val="22"/>
                <w:szCs w:val="22"/>
              </w:rPr>
              <w:t xml:space="preserve"> uplift of the development will be dedicated to Council as cash or affordable housing dwellings at no cost to Council</w:t>
            </w:r>
            <w:r w:rsidR="00441A0D">
              <w:rPr>
                <w:rFonts w:ascii="Arial" w:eastAsia="Calibri" w:hAnsi="Arial" w:cs="Arial"/>
                <w:sz w:val="22"/>
                <w:szCs w:val="22"/>
              </w:rPr>
              <w:t xml:space="preserve"> (this will be calculated as an inclusive component of the 50% value capture contribution as specified in Council’s draft VPA Policy)</w:t>
            </w:r>
          </w:p>
        </w:tc>
      </w:tr>
    </w:tbl>
    <w:p w:rsidR="000031FE" w:rsidRDefault="000031FE" w:rsidP="003F51BA">
      <w:pPr>
        <w:rPr>
          <w:rFonts w:ascii="Arial" w:hAnsi="Arial" w:cs="Arial"/>
          <w:b/>
          <w:sz w:val="22"/>
          <w:szCs w:val="22"/>
        </w:rPr>
      </w:pPr>
    </w:p>
    <w:p w:rsidR="00FC215F" w:rsidRDefault="00D86B5F" w:rsidP="00D16324">
      <w:pPr>
        <w:ind w:left="720"/>
        <w:jc w:val="both"/>
        <w:rPr>
          <w:rFonts w:ascii="Arial" w:hAnsi="Arial" w:cs="Arial"/>
          <w:sz w:val="22"/>
          <w:szCs w:val="22"/>
        </w:rPr>
      </w:pPr>
      <w:r>
        <w:rPr>
          <w:rFonts w:ascii="Arial" w:hAnsi="Arial" w:cs="Arial"/>
          <w:sz w:val="22"/>
          <w:szCs w:val="22"/>
        </w:rPr>
        <w:t xml:space="preserve">As </w:t>
      </w:r>
      <w:r w:rsidR="000C2A17">
        <w:rPr>
          <w:rFonts w:ascii="Arial" w:hAnsi="Arial" w:cs="Arial"/>
          <w:sz w:val="22"/>
          <w:szCs w:val="22"/>
        </w:rPr>
        <w:t>shown</w:t>
      </w:r>
      <w:r>
        <w:rPr>
          <w:rFonts w:ascii="Arial" w:hAnsi="Arial" w:cs="Arial"/>
          <w:sz w:val="22"/>
          <w:szCs w:val="22"/>
        </w:rPr>
        <w:t xml:space="preserve"> in </w:t>
      </w:r>
      <w:r w:rsidR="005359D6">
        <w:rPr>
          <w:rFonts w:ascii="Arial" w:hAnsi="Arial" w:cs="Arial"/>
          <w:sz w:val="22"/>
          <w:szCs w:val="22"/>
        </w:rPr>
        <w:t>Table 5</w:t>
      </w:r>
      <w:r w:rsidR="00FC215F">
        <w:rPr>
          <w:rFonts w:ascii="Arial" w:hAnsi="Arial" w:cs="Arial"/>
          <w:sz w:val="22"/>
          <w:szCs w:val="22"/>
        </w:rPr>
        <w:t xml:space="preserve"> above</w:t>
      </w:r>
      <w:r>
        <w:rPr>
          <w:rFonts w:ascii="Arial" w:hAnsi="Arial" w:cs="Arial"/>
          <w:sz w:val="22"/>
          <w:szCs w:val="22"/>
        </w:rPr>
        <w:t xml:space="preserve">, </w:t>
      </w:r>
      <w:r w:rsidR="000A31CE">
        <w:rPr>
          <w:rFonts w:ascii="Arial" w:hAnsi="Arial" w:cs="Arial"/>
          <w:sz w:val="22"/>
          <w:szCs w:val="22"/>
        </w:rPr>
        <w:t>the rate at which Council will capture</w:t>
      </w:r>
      <w:r>
        <w:rPr>
          <w:rFonts w:ascii="Arial" w:hAnsi="Arial" w:cs="Arial"/>
          <w:sz w:val="22"/>
          <w:szCs w:val="22"/>
        </w:rPr>
        <w:t xml:space="preserve"> value </w:t>
      </w:r>
      <w:r w:rsidR="00BD44F3">
        <w:rPr>
          <w:rFonts w:ascii="Arial" w:hAnsi="Arial" w:cs="Arial"/>
          <w:sz w:val="22"/>
          <w:szCs w:val="22"/>
        </w:rPr>
        <w:t>as</w:t>
      </w:r>
      <w:r>
        <w:rPr>
          <w:rFonts w:ascii="Arial" w:hAnsi="Arial" w:cs="Arial"/>
          <w:sz w:val="22"/>
          <w:szCs w:val="22"/>
        </w:rPr>
        <w:t xml:space="preserve"> affordable housing will be phased in over time</w:t>
      </w:r>
      <w:r w:rsidR="00FC215F">
        <w:rPr>
          <w:rFonts w:ascii="Arial" w:hAnsi="Arial" w:cs="Arial"/>
          <w:sz w:val="22"/>
          <w:szCs w:val="22"/>
        </w:rPr>
        <w:t>:</w:t>
      </w:r>
    </w:p>
    <w:p w:rsidR="00FC215F" w:rsidRPr="00BD44F3" w:rsidRDefault="00FC215F" w:rsidP="00D16324">
      <w:pPr>
        <w:pStyle w:val="ListParagraph"/>
        <w:numPr>
          <w:ilvl w:val="0"/>
          <w:numId w:val="31"/>
        </w:numPr>
        <w:jc w:val="both"/>
        <w:rPr>
          <w:rFonts w:ascii="Arial" w:hAnsi="Arial" w:cs="Arial"/>
          <w:sz w:val="22"/>
          <w:szCs w:val="22"/>
        </w:rPr>
      </w:pPr>
      <w:r w:rsidRPr="00BD44F3">
        <w:rPr>
          <w:rFonts w:ascii="Arial" w:hAnsi="Arial" w:cs="Arial"/>
          <w:sz w:val="22"/>
          <w:szCs w:val="22"/>
        </w:rPr>
        <w:t xml:space="preserve">Initially, current </w:t>
      </w:r>
      <w:r w:rsidR="00EF4A9E">
        <w:rPr>
          <w:rFonts w:ascii="Arial" w:hAnsi="Arial" w:cs="Arial"/>
          <w:sz w:val="22"/>
          <w:szCs w:val="22"/>
        </w:rPr>
        <w:t>development applications (DAs)</w:t>
      </w:r>
      <w:r w:rsidRPr="00BD44F3">
        <w:rPr>
          <w:rFonts w:ascii="Arial" w:hAnsi="Arial" w:cs="Arial"/>
          <w:sz w:val="22"/>
          <w:szCs w:val="22"/>
        </w:rPr>
        <w:t xml:space="preserve"> and </w:t>
      </w:r>
      <w:r w:rsidR="00EF4A9E">
        <w:rPr>
          <w:rFonts w:ascii="Arial" w:hAnsi="Arial" w:cs="Arial"/>
          <w:sz w:val="22"/>
          <w:szCs w:val="22"/>
        </w:rPr>
        <w:t>planning proposals (</w:t>
      </w:r>
      <w:r w:rsidRPr="00BD44F3">
        <w:rPr>
          <w:rFonts w:ascii="Arial" w:hAnsi="Arial" w:cs="Arial"/>
          <w:sz w:val="22"/>
          <w:szCs w:val="22"/>
        </w:rPr>
        <w:t>PPs</w:t>
      </w:r>
      <w:r w:rsidR="00EF4A9E">
        <w:rPr>
          <w:rFonts w:ascii="Arial" w:hAnsi="Arial" w:cs="Arial"/>
          <w:sz w:val="22"/>
          <w:szCs w:val="22"/>
        </w:rPr>
        <w:t>)</w:t>
      </w:r>
      <w:r w:rsidRPr="00BD44F3">
        <w:rPr>
          <w:rFonts w:ascii="Arial" w:hAnsi="Arial" w:cs="Arial"/>
          <w:sz w:val="22"/>
          <w:szCs w:val="22"/>
        </w:rPr>
        <w:t xml:space="preserve"> being considered by Council will be</w:t>
      </w:r>
      <w:r w:rsidR="00C47322" w:rsidRPr="00BD44F3">
        <w:rPr>
          <w:rFonts w:ascii="Arial" w:hAnsi="Arial" w:cs="Arial"/>
          <w:sz w:val="22"/>
          <w:szCs w:val="22"/>
        </w:rPr>
        <w:t xml:space="preserve"> t</w:t>
      </w:r>
      <w:r w:rsidR="005F7B3B">
        <w:rPr>
          <w:rFonts w:ascii="Arial" w:hAnsi="Arial" w:cs="Arial"/>
          <w:sz w:val="22"/>
          <w:szCs w:val="22"/>
        </w:rPr>
        <w:t xml:space="preserve">reated as per the current </w:t>
      </w:r>
      <w:r w:rsidR="00C47322" w:rsidRPr="00BD44F3">
        <w:rPr>
          <w:rFonts w:ascii="Arial" w:hAnsi="Arial" w:cs="Arial"/>
          <w:sz w:val="22"/>
          <w:szCs w:val="22"/>
        </w:rPr>
        <w:t>VPA Policy</w:t>
      </w:r>
      <w:r w:rsidR="00833485" w:rsidRPr="00BD44F3">
        <w:rPr>
          <w:rFonts w:ascii="Arial" w:hAnsi="Arial" w:cs="Arial"/>
          <w:sz w:val="22"/>
          <w:szCs w:val="22"/>
        </w:rPr>
        <w:t xml:space="preserve"> as endorsed by Council</w:t>
      </w:r>
      <w:r w:rsidR="009448FA">
        <w:rPr>
          <w:rFonts w:ascii="Arial" w:hAnsi="Arial" w:cs="Arial"/>
          <w:sz w:val="22"/>
          <w:szCs w:val="22"/>
        </w:rPr>
        <w:t>.</w:t>
      </w:r>
    </w:p>
    <w:p w:rsidR="00833485" w:rsidRPr="00BD44F3" w:rsidRDefault="00EF4A9E" w:rsidP="00D16324">
      <w:pPr>
        <w:pStyle w:val="ListParagraph"/>
        <w:numPr>
          <w:ilvl w:val="0"/>
          <w:numId w:val="31"/>
        </w:numPr>
        <w:jc w:val="both"/>
        <w:rPr>
          <w:rFonts w:ascii="Arial" w:hAnsi="Arial" w:cs="Arial"/>
          <w:sz w:val="22"/>
          <w:szCs w:val="22"/>
        </w:rPr>
      </w:pPr>
      <w:r>
        <w:rPr>
          <w:rFonts w:ascii="Arial" w:hAnsi="Arial" w:cs="Arial"/>
          <w:sz w:val="22"/>
          <w:szCs w:val="22"/>
        </w:rPr>
        <w:t>A</w:t>
      </w:r>
      <w:r w:rsidR="00FC215F" w:rsidRPr="00BD44F3">
        <w:rPr>
          <w:rFonts w:ascii="Arial" w:hAnsi="Arial" w:cs="Arial"/>
          <w:sz w:val="22"/>
          <w:szCs w:val="22"/>
        </w:rPr>
        <w:t xml:space="preserve">fter adoption of </w:t>
      </w:r>
      <w:r w:rsidR="00833485" w:rsidRPr="00BD44F3">
        <w:rPr>
          <w:rFonts w:ascii="Arial" w:hAnsi="Arial" w:cs="Arial"/>
          <w:sz w:val="22"/>
          <w:szCs w:val="22"/>
        </w:rPr>
        <w:t xml:space="preserve">the Affordable Housing </w:t>
      </w:r>
      <w:r w:rsidR="00FC215F" w:rsidRPr="00BD44F3">
        <w:rPr>
          <w:rFonts w:ascii="Arial" w:hAnsi="Arial" w:cs="Arial"/>
          <w:sz w:val="22"/>
          <w:szCs w:val="22"/>
        </w:rPr>
        <w:t>Policy</w:t>
      </w:r>
      <w:r>
        <w:rPr>
          <w:rFonts w:ascii="Arial" w:hAnsi="Arial" w:cs="Arial"/>
          <w:sz w:val="22"/>
          <w:szCs w:val="22"/>
        </w:rPr>
        <w:t>, subsequently lodged PPs</w:t>
      </w:r>
      <w:r w:rsidRPr="00BD44F3">
        <w:rPr>
          <w:rFonts w:ascii="Arial" w:hAnsi="Arial" w:cs="Arial"/>
          <w:sz w:val="22"/>
          <w:szCs w:val="22"/>
        </w:rPr>
        <w:t xml:space="preserve"> </w:t>
      </w:r>
      <w:r w:rsidR="00833485" w:rsidRPr="00BD44F3">
        <w:rPr>
          <w:rFonts w:ascii="Arial" w:hAnsi="Arial" w:cs="Arial"/>
          <w:sz w:val="22"/>
          <w:szCs w:val="22"/>
        </w:rPr>
        <w:t xml:space="preserve">will be subject to the initial </w:t>
      </w:r>
      <w:r w:rsidR="005F7B3B">
        <w:rPr>
          <w:rFonts w:ascii="Arial" w:hAnsi="Arial" w:cs="Arial"/>
          <w:sz w:val="22"/>
          <w:szCs w:val="22"/>
        </w:rPr>
        <w:t xml:space="preserve">value </w:t>
      </w:r>
      <w:r w:rsidR="00833485" w:rsidRPr="00BD44F3">
        <w:rPr>
          <w:rFonts w:ascii="Arial" w:hAnsi="Arial" w:cs="Arial"/>
          <w:sz w:val="22"/>
          <w:szCs w:val="22"/>
        </w:rPr>
        <w:t xml:space="preserve">capture rates </w:t>
      </w:r>
      <w:r>
        <w:rPr>
          <w:rFonts w:ascii="Arial" w:hAnsi="Arial" w:cs="Arial"/>
          <w:sz w:val="22"/>
          <w:szCs w:val="22"/>
        </w:rPr>
        <w:t xml:space="preserve">that </w:t>
      </w:r>
      <w:r w:rsidR="00BD44F3">
        <w:rPr>
          <w:rFonts w:ascii="Arial" w:hAnsi="Arial" w:cs="Arial"/>
          <w:sz w:val="22"/>
          <w:szCs w:val="22"/>
        </w:rPr>
        <w:t xml:space="preserve">seek a rate based on 10% of the value uplift </w:t>
      </w:r>
      <w:r w:rsidR="00833485" w:rsidRPr="00BD44F3">
        <w:rPr>
          <w:rFonts w:ascii="Arial" w:hAnsi="Arial" w:cs="Arial"/>
          <w:sz w:val="22"/>
          <w:szCs w:val="22"/>
        </w:rPr>
        <w:t xml:space="preserve">as outlined </w:t>
      </w:r>
      <w:r w:rsidR="009A5973" w:rsidRPr="00BD44F3">
        <w:rPr>
          <w:rFonts w:ascii="Arial" w:hAnsi="Arial" w:cs="Arial"/>
          <w:sz w:val="22"/>
          <w:szCs w:val="22"/>
        </w:rPr>
        <w:t>in Table 5</w:t>
      </w:r>
      <w:r w:rsidR="009448FA">
        <w:rPr>
          <w:rFonts w:ascii="Arial" w:hAnsi="Arial" w:cs="Arial"/>
          <w:sz w:val="22"/>
          <w:szCs w:val="22"/>
        </w:rPr>
        <w:t>.</w:t>
      </w:r>
    </w:p>
    <w:p w:rsidR="00FC215F" w:rsidRDefault="00BD44F3" w:rsidP="00D16324">
      <w:pPr>
        <w:pStyle w:val="ListParagraph"/>
        <w:numPr>
          <w:ilvl w:val="0"/>
          <w:numId w:val="31"/>
        </w:numPr>
        <w:jc w:val="both"/>
        <w:rPr>
          <w:rFonts w:ascii="Arial" w:hAnsi="Arial" w:cs="Arial"/>
          <w:sz w:val="22"/>
          <w:szCs w:val="22"/>
        </w:rPr>
      </w:pPr>
      <w:r>
        <w:rPr>
          <w:rFonts w:ascii="Arial" w:hAnsi="Arial" w:cs="Arial"/>
          <w:sz w:val="22"/>
          <w:szCs w:val="22"/>
        </w:rPr>
        <w:t>12</w:t>
      </w:r>
      <w:r w:rsidR="00FC215F" w:rsidRPr="00BD44F3">
        <w:rPr>
          <w:rFonts w:ascii="Arial" w:hAnsi="Arial" w:cs="Arial"/>
          <w:sz w:val="22"/>
          <w:szCs w:val="22"/>
        </w:rPr>
        <w:t xml:space="preserve"> months</w:t>
      </w:r>
      <w:r w:rsidR="00833485" w:rsidRPr="00BD44F3">
        <w:rPr>
          <w:rFonts w:ascii="Arial" w:hAnsi="Arial" w:cs="Arial"/>
          <w:sz w:val="22"/>
          <w:szCs w:val="22"/>
        </w:rPr>
        <w:t xml:space="preserve"> after the adoption o</w:t>
      </w:r>
      <w:r w:rsidR="00EF4A9E">
        <w:rPr>
          <w:rFonts w:ascii="Arial" w:hAnsi="Arial" w:cs="Arial"/>
          <w:sz w:val="22"/>
          <w:szCs w:val="22"/>
        </w:rPr>
        <w:t>f the Affordable Housing Policy, subsequently lodged PPs</w:t>
      </w:r>
      <w:r w:rsidR="00EF4A9E" w:rsidRPr="00BD44F3">
        <w:rPr>
          <w:rFonts w:ascii="Arial" w:hAnsi="Arial" w:cs="Arial"/>
          <w:sz w:val="22"/>
          <w:szCs w:val="22"/>
        </w:rPr>
        <w:t xml:space="preserve"> </w:t>
      </w:r>
      <w:r w:rsidR="00EF4A9E">
        <w:rPr>
          <w:rFonts w:ascii="Arial" w:hAnsi="Arial" w:cs="Arial"/>
          <w:sz w:val="22"/>
          <w:szCs w:val="22"/>
        </w:rPr>
        <w:t xml:space="preserve">and DAs </w:t>
      </w:r>
      <w:r w:rsidR="00833485" w:rsidRPr="00BD44F3">
        <w:rPr>
          <w:rFonts w:ascii="Arial" w:hAnsi="Arial" w:cs="Arial"/>
          <w:sz w:val="22"/>
          <w:szCs w:val="22"/>
        </w:rPr>
        <w:t>will be subject to</w:t>
      </w:r>
      <w:r w:rsidR="00EF4A9E">
        <w:rPr>
          <w:rFonts w:ascii="Arial" w:hAnsi="Arial" w:cs="Arial"/>
          <w:sz w:val="22"/>
          <w:szCs w:val="22"/>
        </w:rPr>
        <w:t xml:space="preserve"> a</w:t>
      </w:r>
      <w:r w:rsidR="00833485" w:rsidRPr="00BD44F3">
        <w:rPr>
          <w:rFonts w:ascii="Arial" w:hAnsi="Arial" w:cs="Arial"/>
          <w:sz w:val="22"/>
          <w:szCs w:val="22"/>
        </w:rPr>
        <w:t xml:space="preserve"> </w:t>
      </w:r>
      <w:r w:rsidR="00EF4A9E">
        <w:rPr>
          <w:rFonts w:ascii="Arial" w:hAnsi="Arial" w:cs="Arial"/>
          <w:sz w:val="22"/>
          <w:szCs w:val="22"/>
        </w:rPr>
        <w:t xml:space="preserve">3% </w:t>
      </w:r>
      <w:r w:rsidR="00CA07D9">
        <w:rPr>
          <w:rFonts w:ascii="Arial" w:hAnsi="Arial" w:cs="Arial"/>
          <w:sz w:val="22"/>
          <w:szCs w:val="22"/>
        </w:rPr>
        <w:t>contribution</w:t>
      </w:r>
      <w:r w:rsidR="000D3D8C">
        <w:rPr>
          <w:rFonts w:ascii="Arial" w:hAnsi="Arial" w:cs="Arial"/>
          <w:sz w:val="22"/>
          <w:szCs w:val="22"/>
        </w:rPr>
        <w:t xml:space="preserve"> of the value of the development portion under existing planning controls</w:t>
      </w:r>
      <w:r w:rsidR="00EF4A9E">
        <w:rPr>
          <w:rFonts w:ascii="Arial" w:hAnsi="Arial" w:cs="Arial"/>
          <w:sz w:val="22"/>
          <w:szCs w:val="22"/>
        </w:rPr>
        <w:t xml:space="preserve">, </w:t>
      </w:r>
      <w:r>
        <w:rPr>
          <w:rFonts w:ascii="Arial" w:hAnsi="Arial" w:cs="Arial"/>
          <w:sz w:val="22"/>
          <w:szCs w:val="22"/>
        </w:rPr>
        <w:t xml:space="preserve">plus </w:t>
      </w:r>
      <w:r w:rsidR="000D3D8C">
        <w:rPr>
          <w:rFonts w:ascii="Arial" w:hAnsi="Arial" w:cs="Arial"/>
          <w:sz w:val="22"/>
          <w:szCs w:val="22"/>
        </w:rPr>
        <w:t xml:space="preserve">a </w:t>
      </w:r>
      <w:r>
        <w:rPr>
          <w:rFonts w:ascii="Arial" w:hAnsi="Arial" w:cs="Arial"/>
          <w:sz w:val="22"/>
          <w:szCs w:val="22"/>
        </w:rPr>
        <w:t xml:space="preserve">10% </w:t>
      </w:r>
      <w:r w:rsidR="000D3D8C">
        <w:rPr>
          <w:rFonts w:ascii="Arial" w:hAnsi="Arial" w:cs="Arial"/>
          <w:sz w:val="22"/>
          <w:szCs w:val="22"/>
        </w:rPr>
        <w:t xml:space="preserve">contribution </w:t>
      </w:r>
      <w:r>
        <w:rPr>
          <w:rFonts w:ascii="Arial" w:hAnsi="Arial" w:cs="Arial"/>
          <w:sz w:val="22"/>
          <w:szCs w:val="22"/>
        </w:rPr>
        <w:t xml:space="preserve">of the value uplift as </w:t>
      </w:r>
      <w:r w:rsidR="000D3D8C">
        <w:rPr>
          <w:rFonts w:ascii="Arial" w:hAnsi="Arial" w:cs="Arial"/>
          <w:sz w:val="22"/>
          <w:szCs w:val="22"/>
        </w:rPr>
        <w:t>outlined in Table 5, to be provided as dwellings or as cash contribution.</w:t>
      </w:r>
    </w:p>
    <w:p w:rsidR="000D3D8C" w:rsidRDefault="000D3D8C" w:rsidP="000D3D8C">
      <w:pPr>
        <w:pStyle w:val="ListParagraph"/>
        <w:numPr>
          <w:ilvl w:val="0"/>
          <w:numId w:val="31"/>
        </w:numPr>
        <w:jc w:val="both"/>
        <w:rPr>
          <w:rFonts w:ascii="Arial" w:hAnsi="Arial" w:cs="Arial"/>
          <w:sz w:val="22"/>
          <w:szCs w:val="22"/>
        </w:rPr>
      </w:pPr>
      <w:r>
        <w:rPr>
          <w:rFonts w:ascii="Arial" w:hAnsi="Arial" w:cs="Arial"/>
          <w:sz w:val="22"/>
          <w:szCs w:val="22"/>
        </w:rPr>
        <w:lastRenderedPageBreak/>
        <w:t>24</w:t>
      </w:r>
      <w:r w:rsidRPr="00BD44F3">
        <w:rPr>
          <w:rFonts w:ascii="Arial" w:hAnsi="Arial" w:cs="Arial"/>
          <w:sz w:val="22"/>
          <w:szCs w:val="22"/>
        </w:rPr>
        <w:t xml:space="preserve"> months after the adoption o</w:t>
      </w:r>
      <w:r>
        <w:rPr>
          <w:rFonts w:ascii="Arial" w:hAnsi="Arial" w:cs="Arial"/>
          <w:sz w:val="22"/>
          <w:szCs w:val="22"/>
        </w:rPr>
        <w:t>f the Affordable Housing Policy, subsequently lodged PPs</w:t>
      </w:r>
      <w:r w:rsidRPr="00BD44F3">
        <w:rPr>
          <w:rFonts w:ascii="Arial" w:hAnsi="Arial" w:cs="Arial"/>
          <w:sz w:val="22"/>
          <w:szCs w:val="22"/>
        </w:rPr>
        <w:t xml:space="preserve"> </w:t>
      </w:r>
      <w:r>
        <w:rPr>
          <w:rFonts w:ascii="Arial" w:hAnsi="Arial" w:cs="Arial"/>
          <w:sz w:val="22"/>
          <w:szCs w:val="22"/>
        </w:rPr>
        <w:t xml:space="preserve">and DAs </w:t>
      </w:r>
      <w:r w:rsidRPr="00BD44F3">
        <w:rPr>
          <w:rFonts w:ascii="Arial" w:hAnsi="Arial" w:cs="Arial"/>
          <w:sz w:val="22"/>
          <w:szCs w:val="22"/>
        </w:rPr>
        <w:t>will be subject to</w:t>
      </w:r>
      <w:r>
        <w:rPr>
          <w:rFonts w:ascii="Arial" w:hAnsi="Arial" w:cs="Arial"/>
          <w:sz w:val="22"/>
          <w:szCs w:val="22"/>
        </w:rPr>
        <w:t xml:space="preserve"> a</w:t>
      </w:r>
      <w:r w:rsidRPr="00BD44F3">
        <w:rPr>
          <w:rFonts w:ascii="Arial" w:hAnsi="Arial" w:cs="Arial"/>
          <w:sz w:val="22"/>
          <w:szCs w:val="22"/>
        </w:rPr>
        <w:t xml:space="preserve"> </w:t>
      </w:r>
      <w:r>
        <w:rPr>
          <w:rFonts w:ascii="Arial" w:hAnsi="Arial" w:cs="Arial"/>
          <w:sz w:val="22"/>
          <w:szCs w:val="22"/>
        </w:rPr>
        <w:t>5% contribution of the value of the development portion under existing planning controls, plus a 10% contribution of the value uplift as outlined in Table 5, to be provided as dwellings or as cash contribution.</w:t>
      </w:r>
    </w:p>
    <w:p w:rsidR="00B53717" w:rsidRDefault="00B53717" w:rsidP="00D16324">
      <w:pPr>
        <w:jc w:val="both"/>
        <w:rPr>
          <w:rFonts w:ascii="Arial" w:hAnsi="Arial" w:cs="Arial"/>
          <w:b/>
          <w:sz w:val="22"/>
          <w:szCs w:val="22"/>
        </w:rPr>
      </w:pPr>
    </w:p>
    <w:p w:rsidR="00EF4A9E" w:rsidRPr="002B4894" w:rsidRDefault="002B4894" w:rsidP="002B4894">
      <w:pPr>
        <w:ind w:left="720"/>
        <w:jc w:val="both"/>
        <w:rPr>
          <w:rFonts w:ascii="Arial" w:hAnsi="Arial" w:cs="Arial"/>
          <w:sz w:val="22"/>
          <w:szCs w:val="22"/>
        </w:rPr>
      </w:pPr>
      <w:r w:rsidRPr="002B4894">
        <w:rPr>
          <w:rFonts w:ascii="Arial" w:hAnsi="Arial" w:cs="Arial"/>
          <w:sz w:val="22"/>
          <w:szCs w:val="22"/>
        </w:rPr>
        <w:t xml:space="preserve">Note: </w:t>
      </w:r>
      <w:r>
        <w:rPr>
          <w:rFonts w:ascii="Arial" w:hAnsi="Arial" w:cs="Arial"/>
          <w:sz w:val="22"/>
          <w:szCs w:val="22"/>
        </w:rPr>
        <w:t xml:space="preserve">In accordance with the draft VPA Policy, the 10% affordable housing contribution on uplift value will only apply to sites </w:t>
      </w:r>
      <w:r w:rsidR="001E7BA1">
        <w:rPr>
          <w:rFonts w:ascii="Arial" w:hAnsi="Arial" w:cs="Arial"/>
          <w:sz w:val="22"/>
          <w:szCs w:val="22"/>
        </w:rPr>
        <w:t xml:space="preserve">within the City of Parramatta local government area that are </w:t>
      </w:r>
      <w:r>
        <w:rPr>
          <w:rFonts w:ascii="Arial" w:hAnsi="Arial" w:cs="Arial"/>
          <w:sz w:val="22"/>
          <w:szCs w:val="22"/>
        </w:rPr>
        <w:t>outside the Parramatta CBD. The additional phased affordable housing contribution that will apply to the existing planning controls</w:t>
      </w:r>
      <w:r w:rsidR="001E7BA1">
        <w:rPr>
          <w:rFonts w:ascii="Arial" w:hAnsi="Arial" w:cs="Arial"/>
          <w:sz w:val="22"/>
          <w:szCs w:val="22"/>
        </w:rPr>
        <w:t>,</w:t>
      </w:r>
      <w:r>
        <w:rPr>
          <w:rFonts w:ascii="Arial" w:hAnsi="Arial" w:cs="Arial"/>
          <w:sz w:val="22"/>
          <w:szCs w:val="22"/>
        </w:rPr>
        <w:t xml:space="preserve"> </w:t>
      </w:r>
      <w:r w:rsidR="001E7BA1">
        <w:rPr>
          <w:rFonts w:ascii="Arial" w:hAnsi="Arial" w:cs="Arial"/>
          <w:sz w:val="22"/>
          <w:szCs w:val="22"/>
        </w:rPr>
        <w:t xml:space="preserve">and that will be phased in from 12 months after the date of adoption of this Policy, </w:t>
      </w:r>
      <w:r>
        <w:rPr>
          <w:rFonts w:ascii="Arial" w:hAnsi="Arial" w:cs="Arial"/>
          <w:sz w:val="22"/>
          <w:szCs w:val="22"/>
        </w:rPr>
        <w:t>will apply to all areas of the City of Parramatta local government area, including the CBD.</w:t>
      </w:r>
    </w:p>
    <w:p w:rsidR="00EF4A9E" w:rsidRPr="00E56882" w:rsidRDefault="00EF4A9E" w:rsidP="00D16324">
      <w:pPr>
        <w:jc w:val="both"/>
        <w:rPr>
          <w:rFonts w:ascii="Arial" w:hAnsi="Arial" w:cs="Arial"/>
          <w:b/>
          <w:sz w:val="22"/>
          <w:szCs w:val="22"/>
        </w:rPr>
      </w:pPr>
    </w:p>
    <w:p w:rsidR="003F51BA" w:rsidRPr="00C76DC2" w:rsidRDefault="008E10E6" w:rsidP="00D16324">
      <w:pPr>
        <w:ind w:left="720"/>
        <w:jc w:val="both"/>
        <w:rPr>
          <w:rFonts w:ascii="Arial" w:hAnsi="Arial" w:cs="Arial"/>
          <w:b/>
          <w:sz w:val="22"/>
          <w:szCs w:val="22"/>
        </w:rPr>
      </w:pPr>
      <w:r w:rsidRPr="00C76DC2">
        <w:rPr>
          <w:rFonts w:ascii="Arial" w:hAnsi="Arial" w:cs="Arial"/>
          <w:b/>
          <w:sz w:val="22"/>
          <w:szCs w:val="22"/>
        </w:rPr>
        <w:t>Action 5.</w:t>
      </w:r>
      <w:r w:rsidR="00A16ECA" w:rsidRPr="00C76DC2">
        <w:rPr>
          <w:rFonts w:ascii="Arial" w:hAnsi="Arial" w:cs="Arial"/>
          <w:b/>
          <w:sz w:val="22"/>
          <w:szCs w:val="22"/>
        </w:rPr>
        <w:t xml:space="preserve"> </w:t>
      </w:r>
      <w:r w:rsidR="00A16ECA" w:rsidRPr="00C76DC2">
        <w:rPr>
          <w:rFonts w:ascii="Arial" w:hAnsi="Arial" w:cs="Arial"/>
          <w:b/>
          <w:bCs/>
          <w:sz w:val="22"/>
          <w:szCs w:val="22"/>
          <w:lang w:val="en-AU"/>
        </w:rPr>
        <w:t>Pursue Inclusionary Zoning by applying to DPE for inclu</w:t>
      </w:r>
      <w:r w:rsidR="00C76DC2">
        <w:rPr>
          <w:rFonts w:ascii="Arial" w:hAnsi="Arial" w:cs="Arial"/>
          <w:b/>
          <w:bCs/>
          <w:sz w:val="22"/>
          <w:szCs w:val="22"/>
          <w:lang w:val="en-AU"/>
        </w:rPr>
        <w:t>sion under SEPP 70 - seeking</w:t>
      </w:r>
      <w:r w:rsidR="00A16ECA" w:rsidRPr="00C76DC2">
        <w:rPr>
          <w:rFonts w:ascii="Arial" w:hAnsi="Arial" w:cs="Arial"/>
          <w:b/>
          <w:bCs/>
          <w:sz w:val="22"/>
          <w:szCs w:val="22"/>
          <w:lang w:val="en-AU"/>
        </w:rPr>
        <w:t xml:space="preserve"> </w:t>
      </w:r>
      <w:r w:rsidR="005F0EA3" w:rsidRPr="00C76DC2">
        <w:rPr>
          <w:rFonts w:ascii="Arial" w:hAnsi="Arial" w:cs="Arial"/>
          <w:b/>
          <w:bCs/>
          <w:sz w:val="22"/>
          <w:szCs w:val="22"/>
          <w:lang w:val="en-AU"/>
        </w:rPr>
        <w:t>affordable rental housing on</w:t>
      </w:r>
      <w:r w:rsidR="00687B40" w:rsidRPr="00C76DC2">
        <w:rPr>
          <w:rFonts w:ascii="Arial" w:hAnsi="Arial" w:cs="Arial"/>
          <w:b/>
          <w:bCs/>
          <w:sz w:val="22"/>
          <w:szCs w:val="22"/>
          <w:lang w:val="en-AU"/>
        </w:rPr>
        <w:t xml:space="preserve"> private </w:t>
      </w:r>
      <w:r w:rsidR="005F0EA3" w:rsidRPr="00C76DC2">
        <w:rPr>
          <w:rFonts w:ascii="Arial" w:hAnsi="Arial" w:cs="Arial"/>
          <w:b/>
          <w:bCs/>
          <w:sz w:val="22"/>
          <w:szCs w:val="22"/>
          <w:lang w:val="en-AU"/>
        </w:rPr>
        <w:t>land and on government</w:t>
      </w:r>
      <w:r w:rsidR="00687B40" w:rsidRPr="00C76DC2">
        <w:rPr>
          <w:rFonts w:ascii="Arial" w:hAnsi="Arial" w:cs="Arial"/>
          <w:b/>
          <w:bCs/>
          <w:sz w:val="22"/>
          <w:szCs w:val="22"/>
          <w:lang w:val="en-AU"/>
        </w:rPr>
        <w:t xml:space="preserve"> land</w:t>
      </w:r>
    </w:p>
    <w:p w:rsidR="0047199B" w:rsidRDefault="00644072" w:rsidP="00D16324">
      <w:pPr>
        <w:ind w:left="720"/>
        <w:jc w:val="both"/>
        <w:rPr>
          <w:rFonts w:ascii="Arial" w:hAnsi="Arial" w:cs="Arial"/>
          <w:sz w:val="22"/>
          <w:szCs w:val="22"/>
        </w:rPr>
      </w:pPr>
      <w:r w:rsidRPr="00C76DC2">
        <w:rPr>
          <w:rFonts w:ascii="Arial" w:hAnsi="Arial" w:cs="Arial"/>
          <w:sz w:val="22"/>
          <w:szCs w:val="22"/>
        </w:rPr>
        <w:t>Council will actively seek to include the City of Parramatta local government area as a priority area for affordable housing under State Environmental Planning Policy</w:t>
      </w:r>
      <w:r w:rsidR="00262252" w:rsidRPr="00C76DC2">
        <w:rPr>
          <w:rFonts w:ascii="Arial" w:hAnsi="Arial" w:cs="Arial"/>
          <w:sz w:val="22"/>
          <w:szCs w:val="22"/>
        </w:rPr>
        <w:t xml:space="preserve"> </w:t>
      </w:r>
      <w:r w:rsidR="00FE7686" w:rsidRPr="00C76DC2">
        <w:rPr>
          <w:rFonts w:ascii="Arial" w:hAnsi="Arial" w:cs="Arial"/>
          <w:sz w:val="22"/>
          <w:szCs w:val="22"/>
        </w:rPr>
        <w:t xml:space="preserve">no. 70 (SEPP </w:t>
      </w:r>
      <w:r w:rsidRPr="00C76DC2">
        <w:rPr>
          <w:rFonts w:ascii="Arial" w:hAnsi="Arial" w:cs="Arial"/>
          <w:sz w:val="22"/>
          <w:szCs w:val="22"/>
        </w:rPr>
        <w:t>70</w:t>
      </w:r>
      <w:r w:rsidR="00FE7686" w:rsidRPr="00C76DC2">
        <w:rPr>
          <w:rFonts w:ascii="Arial" w:hAnsi="Arial" w:cs="Arial"/>
          <w:sz w:val="22"/>
          <w:szCs w:val="22"/>
        </w:rPr>
        <w:t>)</w:t>
      </w:r>
      <w:r w:rsidRPr="00C76DC2">
        <w:rPr>
          <w:rFonts w:ascii="Arial" w:hAnsi="Arial" w:cs="Arial"/>
          <w:sz w:val="22"/>
          <w:szCs w:val="22"/>
        </w:rPr>
        <w:t>.</w:t>
      </w:r>
      <w:r w:rsidR="004510DA" w:rsidRPr="00C76DC2">
        <w:rPr>
          <w:rFonts w:ascii="Arial" w:hAnsi="Arial" w:cs="Arial"/>
          <w:sz w:val="22"/>
          <w:szCs w:val="22"/>
        </w:rPr>
        <w:t xml:space="preserve"> </w:t>
      </w:r>
      <w:r w:rsidR="00B63671" w:rsidRPr="00C76DC2">
        <w:rPr>
          <w:rFonts w:ascii="Arial" w:hAnsi="Arial" w:cs="Arial"/>
          <w:sz w:val="22"/>
          <w:szCs w:val="22"/>
        </w:rPr>
        <w:t>This</w:t>
      </w:r>
      <w:r w:rsidR="000435A4" w:rsidRPr="00C76DC2">
        <w:rPr>
          <w:rFonts w:ascii="Arial" w:hAnsi="Arial" w:cs="Arial"/>
          <w:sz w:val="22"/>
          <w:szCs w:val="22"/>
        </w:rPr>
        <w:t xml:space="preserve"> will </w:t>
      </w:r>
      <w:r w:rsidR="00E8458B">
        <w:rPr>
          <w:rFonts w:ascii="Arial" w:hAnsi="Arial" w:cs="Arial"/>
          <w:sz w:val="22"/>
          <w:szCs w:val="22"/>
        </w:rPr>
        <w:t>allow Council to mandate provision of affordable housing across all development and will no longer require site-specific negotiations</w:t>
      </w:r>
      <w:r w:rsidR="004E38F7">
        <w:rPr>
          <w:rFonts w:ascii="Arial" w:hAnsi="Arial" w:cs="Arial"/>
          <w:sz w:val="22"/>
          <w:szCs w:val="22"/>
        </w:rPr>
        <w:t xml:space="preserve"> via VPAs</w:t>
      </w:r>
      <w:r w:rsidR="00E8458B">
        <w:rPr>
          <w:rFonts w:ascii="Arial" w:hAnsi="Arial" w:cs="Arial"/>
          <w:sz w:val="22"/>
          <w:szCs w:val="22"/>
        </w:rPr>
        <w:t>. Council’s proposed</w:t>
      </w:r>
      <w:r w:rsidR="00C76DC2">
        <w:rPr>
          <w:rFonts w:ascii="Arial" w:hAnsi="Arial" w:cs="Arial"/>
          <w:sz w:val="22"/>
          <w:szCs w:val="22"/>
        </w:rPr>
        <w:t xml:space="preserve"> affordable housing yields</w:t>
      </w:r>
      <w:r w:rsidR="009C3A8D">
        <w:rPr>
          <w:rFonts w:ascii="Arial" w:hAnsi="Arial" w:cs="Arial"/>
          <w:sz w:val="22"/>
          <w:szCs w:val="22"/>
        </w:rPr>
        <w:t xml:space="preserve"> will guide the</w:t>
      </w:r>
      <w:r w:rsidR="00C76DC2">
        <w:rPr>
          <w:rFonts w:ascii="Arial" w:hAnsi="Arial" w:cs="Arial"/>
          <w:sz w:val="22"/>
          <w:szCs w:val="22"/>
        </w:rPr>
        <w:t xml:space="preserve"> </w:t>
      </w:r>
      <w:r w:rsidR="00E8458B">
        <w:rPr>
          <w:rFonts w:ascii="Arial" w:hAnsi="Arial" w:cs="Arial"/>
          <w:sz w:val="22"/>
          <w:szCs w:val="22"/>
        </w:rPr>
        <w:t xml:space="preserve">SEPP 70 </w:t>
      </w:r>
      <w:r w:rsidR="009C3A8D">
        <w:rPr>
          <w:rFonts w:ascii="Arial" w:hAnsi="Arial" w:cs="Arial"/>
          <w:sz w:val="22"/>
          <w:szCs w:val="22"/>
        </w:rPr>
        <w:t>application</w:t>
      </w:r>
      <w:r w:rsidR="00E8458B">
        <w:rPr>
          <w:rFonts w:ascii="Arial" w:hAnsi="Arial" w:cs="Arial"/>
          <w:sz w:val="22"/>
          <w:szCs w:val="22"/>
        </w:rPr>
        <w:t xml:space="preserve"> </w:t>
      </w:r>
      <w:r w:rsidR="006B118F">
        <w:rPr>
          <w:rFonts w:ascii="Arial" w:hAnsi="Arial" w:cs="Arial"/>
          <w:sz w:val="22"/>
          <w:szCs w:val="22"/>
        </w:rPr>
        <w:t>as follows:</w:t>
      </w:r>
    </w:p>
    <w:p w:rsidR="0047199B" w:rsidRDefault="0047199B" w:rsidP="00976D48">
      <w:pPr>
        <w:ind w:left="720"/>
        <w:rPr>
          <w:rFonts w:ascii="Arial" w:hAnsi="Arial" w:cs="Arial"/>
          <w:sz w:val="22"/>
          <w:szCs w:val="22"/>
        </w:rPr>
      </w:pPr>
    </w:p>
    <w:tbl>
      <w:tblPr>
        <w:tblStyle w:val="TableGrid"/>
        <w:tblW w:w="8773" w:type="dxa"/>
        <w:tblInd w:w="720" w:type="dxa"/>
        <w:tblLook w:val="04A0" w:firstRow="1" w:lastRow="0" w:firstColumn="1" w:lastColumn="0" w:noHBand="0" w:noVBand="1"/>
      </w:tblPr>
      <w:tblGrid>
        <w:gridCol w:w="1542"/>
        <w:gridCol w:w="1561"/>
        <w:gridCol w:w="5670"/>
      </w:tblGrid>
      <w:tr w:rsidR="008939A8" w:rsidTr="008939A8">
        <w:tc>
          <w:tcPr>
            <w:tcW w:w="8773" w:type="dxa"/>
            <w:gridSpan w:val="3"/>
            <w:shd w:val="clear" w:color="auto" w:fill="FBD4B4" w:themeFill="accent6" w:themeFillTint="66"/>
          </w:tcPr>
          <w:p w:rsidR="008939A8" w:rsidRDefault="008939A8" w:rsidP="008939A8">
            <w:pPr>
              <w:rPr>
                <w:rFonts w:ascii="Arial" w:hAnsi="Arial" w:cs="Arial"/>
                <w:b/>
                <w:sz w:val="22"/>
                <w:szCs w:val="22"/>
              </w:rPr>
            </w:pPr>
            <w:r>
              <w:rPr>
                <w:rFonts w:ascii="Arial" w:hAnsi="Arial" w:cs="Arial"/>
                <w:b/>
                <w:sz w:val="22"/>
                <w:szCs w:val="22"/>
              </w:rPr>
              <w:t xml:space="preserve">Table 6. </w:t>
            </w:r>
            <w:r w:rsidRPr="00D86B5F">
              <w:rPr>
                <w:rFonts w:ascii="Arial" w:hAnsi="Arial" w:cs="Arial"/>
                <w:b/>
                <w:sz w:val="22"/>
                <w:szCs w:val="22"/>
              </w:rPr>
              <w:t>Affordable Housing Yield Percentages</w:t>
            </w:r>
            <w:r>
              <w:rPr>
                <w:rFonts w:ascii="Arial" w:hAnsi="Arial" w:cs="Arial"/>
                <w:b/>
                <w:sz w:val="22"/>
                <w:szCs w:val="22"/>
              </w:rPr>
              <w:t xml:space="preserve"> for SEPP 70</w:t>
            </w:r>
          </w:p>
          <w:p w:rsidR="008939A8" w:rsidRDefault="008939A8" w:rsidP="008939A8">
            <w:pPr>
              <w:rPr>
                <w:rFonts w:ascii="Arial" w:hAnsi="Arial" w:cs="Arial"/>
                <w:b/>
                <w:sz w:val="22"/>
                <w:szCs w:val="22"/>
              </w:rPr>
            </w:pPr>
          </w:p>
        </w:tc>
      </w:tr>
      <w:tr w:rsidR="008939A8" w:rsidRPr="00D86B5F" w:rsidTr="007D7A10">
        <w:tc>
          <w:tcPr>
            <w:tcW w:w="1542" w:type="dxa"/>
            <w:shd w:val="clear" w:color="auto" w:fill="FBD4B4" w:themeFill="accent6" w:themeFillTint="66"/>
          </w:tcPr>
          <w:p w:rsidR="008939A8" w:rsidRPr="00D86B5F" w:rsidRDefault="008939A8" w:rsidP="007D7A10">
            <w:pPr>
              <w:jc w:val="center"/>
              <w:rPr>
                <w:rFonts w:ascii="Arial" w:hAnsi="Arial" w:cs="Arial"/>
                <w:sz w:val="22"/>
                <w:szCs w:val="22"/>
              </w:rPr>
            </w:pPr>
            <w:r>
              <w:rPr>
                <w:rFonts w:ascii="Arial" w:hAnsi="Arial" w:cs="Arial"/>
                <w:sz w:val="22"/>
                <w:szCs w:val="22"/>
              </w:rPr>
              <w:t>Development type</w:t>
            </w:r>
          </w:p>
        </w:tc>
        <w:tc>
          <w:tcPr>
            <w:tcW w:w="1561" w:type="dxa"/>
            <w:shd w:val="clear" w:color="auto" w:fill="FBD4B4" w:themeFill="accent6" w:themeFillTint="66"/>
          </w:tcPr>
          <w:p w:rsidR="008939A8" w:rsidRPr="00D86B5F" w:rsidRDefault="008939A8" w:rsidP="007D7A10">
            <w:pPr>
              <w:jc w:val="center"/>
              <w:rPr>
                <w:rFonts w:ascii="Arial" w:hAnsi="Arial" w:cs="Arial"/>
                <w:sz w:val="22"/>
                <w:szCs w:val="22"/>
              </w:rPr>
            </w:pPr>
            <w:r>
              <w:rPr>
                <w:rFonts w:ascii="Arial" w:hAnsi="Arial" w:cs="Arial"/>
                <w:sz w:val="22"/>
                <w:szCs w:val="22"/>
              </w:rPr>
              <w:t>Size</w:t>
            </w:r>
          </w:p>
        </w:tc>
        <w:tc>
          <w:tcPr>
            <w:tcW w:w="5670" w:type="dxa"/>
            <w:shd w:val="clear" w:color="auto" w:fill="FBD4B4" w:themeFill="accent6" w:themeFillTint="66"/>
          </w:tcPr>
          <w:p w:rsidR="008939A8" w:rsidRPr="00D86B5F" w:rsidRDefault="008939A8" w:rsidP="007D7A10">
            <w:pPr>
              <w:jc w:val="center"/>
              <w:rPr>
                <w:rFonts w:ascii="Arial" w:hAnsi="Arial" w:cs="Arial"/>
                <w:sz w:val="22"/>
                <w:szCs w:val="22"/>
              </w:rPr>
            </w:pPr>
            <w:r>
              <w:rPr>
                <w:rFonts w:ascii="Arial" w:hAnsi="Arial" w:cs="Arial"/>
                <w:sz w:val="22"/>
                <w:szCs w:val="22"/>
              </w:rPr>
              <w:t>Proposed affordable housing contribution</w:t>
            </w:r>
          </w:p>
        </w:tc>
      </w:tr>
      <w:tr w:rsidR="007D7A10" w:rsidRPr="00D86B5F" w:rsidTr="007D7A10">
        <w:tc>
          <w:tcPr>
            <w:tcW w:w="1542" w:type="dxa"/>
            <w:shd w:val="clear" w:color="auto" w:fill="FFFFFF" w:themeFill="background1"/>
          </w:tcPr>
          <w:p w:rsidR="007D7A10" w:rsidRDefault="007D7A10" w:rsidP="007D7A10">
            <w:pPr>
              <w:rPr>
                <w:rFonts w:ascii="Arial" w:hAnsi="Arial" w:cs="Arial"/>
                <w:sz w:val="22"/>
                <w:szCs w:val="22"/>
              </w:rPr>
            </w:pPr>
            <w:r>
              <w:rPr>
                <w:rFonts w:ascii="Arial" w:hAnsi="Arial" w:cs="Arial"/>
                <w:sz w:val="22"/>
                <w:szCs w:val="22"/>
              </w:rPr>
              <w:t>Development applications</w:t>
            </w:r>
          </w:p>
        </w:tc>
        <w:tc>
          <w:tcPr>
            <w:tcW w:w="1561" w:type="dxa"/>
            <w:shd w:val="clear" w:color="auto" w:fill="FFFFFF" w:themeFill="background1"/>
          </w:tcPr>
          <w:p w:rsidR="007D7A10" w:rsidRDefault="007D7A10" w:rsidP="007D7A10">
            <w:pPr>
              <w:rPr>
                <w:rFonts w:ascii="Arial" w:hAnsi="Arial" w:cs="Arial"/>
                <w:sz w:val="22"/>
                <w:szCs w:val="22"/>
              </w:rPr>
            </w:pPr>
            <w:r>
              <w:rPr>
                <w:rFonts w:ascii="Arial" w:hAnsi="Arial" w:cs="Arial"/>
                <w:sz w:val="22"/>
                <w:szCs w:val="22"/>
              </w:rPr>
              <w:t>20 dwellings or less</w:t>
            </w:r>
          </w:p>
          <w:p w:rsidR="0040064F" w:rsidRDefault="0040064F" w:rsidP="007D7A10">
            <w:pPr>
              <w:rPr>
                <w:rFonts w:ascii="Arial" w:hAnsi="Arial" w:cs="Arial"/>
                <w:sz w:val="22"/>
                <w:szCs w:val="22"/>
              </w:rPr>
            </w:pPr>
          </w:p>
        </w:tc>
        <w:tc>
          <w:tcPr>
            <w:tcW w:w="5670" w:type="dxa"/>
            <w:shd w:val="clear" w:color="auto" w:fill="FFFFFF" w:themeFill="background1"/>
          </w:tcPr>
          <w:p w:rsidR="007D7A10" w:rsidRDefault="007D7A10" w:rsidP="007D7A10">
            <w:pPr>
              <w:rPr>
                <w:rFonts w:ascii="Arial" w:hAnsi="Arial" w:cs="Arial"/>
                <w:sz w:val="22"/>
                <w:szCs w:val="22"/>
              </w:rPr>
            </w:pPr>
            <w:r>
              <w:rPr>
                <w:rFonts w:ascii="Arial" w:hAnsi="Arial" w:cs="Arial"/>
                <w:sz w:val="22"/>
                <w:szCs w:val="22"/>
              </w:rPr>
              <w:t>No contribution</w:t>
            </w:r>
          </w:p>
          <w:p w:rsidR="007D7A10" w:rsidRDefault="007D7A10" w:rsidP="007D7A10">
            <w:pPr>
              <w:rPr>
                <w:rFonts w:ascii="Arial" w:hAnsi="Arial" w:cs="Arial"/>
                <w:sz w:val="22"/>
                <w:szCs w:val="22"/>
              </w:rPr>
            </w:pPr>
          </w:p>
        </w:tc>
      </w:tr>
      <w:tr w:rsidR="007D7A10" w:rsidRPr="00D86B5F" w:rsidTr="007D7A10">
        <w:tc>
          <w:tcPr>
            <w:tcW w:w="1542" w:type="dxa"/>
            <w:shd w:val="clear" w:color="auto" w:fill="FFFFFF" w:themeFill="background1"/>
          </w:tcPr>
          <w:p w:rsidR="007D7A10" w:rsidRDefault="007D7A10" w:rsidP="007D7A10">
            <w:pPr>
              <w:rPr>
                <w:rFonts w:ascii="Arial" w:hAnsi="Arial" w:cs="Arial"/>
                <w:sz w:val="22"/>
                <w:szCs w:val="22"/>
              </w:rPr>
            </w:pPr>
            <w:r>
              <w:rPr>
                <w:rFonts w:ascii="Arial" w:hAnsi="Arial" w:cs="Arial"/>
                <w:sz w:val="22"/>
                <w:szCs w:val="22"/>
              </w:rPr>
              <w:t xml:space="preserve">Development applications </w:t>
            </w:r>
          </w:p>
          <w:p w:rsidR="007D7A10" w:rsidRDefault="007D7A10" w:rsidP="007D7A10">
            <w:pPr>
              <w:rPr>
                <w:rFonts w:ascii="Arial" w:hAnsi="Arial" w:cs="Arial"/>
                <w:sz w:val="22"/>
                <w:szCs w:val="22"/>
              </w:rPr>
            </w:pPr>
          </w:p>
        </w:tc>
        <w:tc>
          <w:tcPr>
            <w:tcW w:w="1561" w:type="dxa"/>
            <w:shd w:val="clear" w:color="auto" w:fill="FFFFFF" w:themeFill="background1"/>
          </w:tcPr>
          <w:p w:rsidR="007D7A10" w:rsidRDefault="00EF4A9E" w:rsidP="007D7A10">
            <w:pPr>
              <w:rPr>
                <w:rFonts w:ascii="Arial" w:hAnsi="Arial" w:cs="Arial"/>
                <w:sz w:val="22"/>
                <w:szCs w:val="22"/>
              </w:rPr>
            </w:pPr>
            <w:r>
              <w:rPr>
                <w:rFonts w:ascii="Arial" w:hAnsi="Arial" w:cs="Arial"/>
                <w:sz w:val="22"/>
                <w:szCs w:val="22"/>
              </w:rPr>
              <w:t>21</w:t>
            </w:r>
            <w:r w:rsidR="007D7A10">
              <w:rPr>
                <w:rFonts w:ascii="Arial" w:hAnsi="Arial" w:cs="Arial"/>
                <w:sz w:val="22"/>
                <w:szCs w:val="22"/>
              </w:rPr>
              <w:t xml:space="preserve"> dwellings</w:t>
            </w:r>
            <w:r>
              <w:rPr>
                <w:rFonts w:ascii="Arial" w:hAnsi="Arial" w:cs="Arial"/>
                <w:sz w:val="22"/>
                <w:szCs w:val="22"/>
              </w:rPr>
              <w:t xml:space="preserve"> or more</w:t>
            </w:r>
          </w:p>
        </w:tc>
        <w:tc>
          <w:tcPr>
            <w:tcW w:w="5670" w:type="dxa"/>
            <w:shd w:val="clear" w:color="auto" w:fill="FFFFFF" w:themeFill="background1"/>
          </w:tcPr>
          <w:p w:rsidR="007D7A10" w:rsidRDefault="007D7A10" w:rsidP="007D7A10">
            <w:pPr>
              <w:rPr>
                <w:rFonts w:ascii="Arial" w:hAnsi="Arial" w:cs="Arial"/>
                <w:sz w:val="22"/>
                <w:szCs w:val="22"/>
              </w:rPr>
            </w:pPr>
            <w:r>
              <w:rPr>
                <w:rFonts w:ascii="Arial" w:hAnsi="Arial" w:cs="Arial"/>
                <w:sz w:val="22"/>
                <w:szCs w:val="22"/>
              </w:rPr>
              <w:t>Cash or dwelling contribution equivalent to 5% of total dwellings will be provided at no cost to Council</w:t>
            </w:r>
          </w:p>
        </w:tc>
      </w:tr>
      <w:tr w:rsidR="007D7A10" w:rsidRPr="00D86B5F" w:rsidTr="007D7A10">
        <w:tc>
          <w:tcPr>
            <w:tcW w:w="1542" w:type="dxa"/>
            <w:vMerge w:val="restart"/>
            <w:shd w:val="clear" w:color="auto" w:fill="FFFFFF" w:themeFill="background1"/>
          </w:tcPr>
          <w:p w:rsidR="007D7A10" w:rsidRDefault="007D7A10" w:rsidP="007D7A10">
            <w:pPr>
              <w:rPr>
                <w:rFonts w:ascii="Arial" w:hAnsi="Arial" w:cs="Arial"/>
                <w:sz w:val="22"/>
                <w:szCs w:val="22"/>
              </w:rPr>
            </w:pPr>
            <w:r>
              <w:rPr>
                <w:rFonts w:ascii="Arial" w:hAnsi="Arial" w:cs="Arial"/>
                <w:sz w:val="22"/>
                <w:szCs w:val="22"/>
              </w:rPr>
              <w:t>Planning proposals</w:t>
            </w:r>
          </w:p>
          <w:p w:rsidR="007D7A10" w:rsidRDefault="007D7A10" w:rsidP="007D7A10">
            <w:pPr>
              <w:rPr>
                <w:rFonts w:ascii="Arial" w:hAnsi="Arial" w:cs="Arial"/>
                <w:sz w:val="22"/>
                <w:szCs w:val="22"/>
              </w:rPr>
            </w:pPr>
          </w:p>
        </w:tc>
        <w:tc>
          <w:tcPr>
            <w:tcW w:w="1561" w:type="dxa"/>
            <w:vMerge w:val="restart"/>
            <w:shd w:val="clear" w:color="auto" w:fill="FFFFFF" w:themeFill="background1"/>
          </w:tcPr>
          <w:p w:rsidR="007D7A10" w:rsidRDefault="007D7A10" w:rsidP="007D7A10">
            <w:pPr>
              <w:rPr>
                <w:rFonts w:ascii="Arial" w:hAnsi="Arial" w:cs="Arial"/>
                <w:sz w:val="22"/>
                <w:szCs w:val="22"/>
              </w:rPr>
            </w:pPr>
            <w:r>
              <w:rPr>
                <w:rFonts w:ascii="Arial" w:hAnsi="Arial" w:cs="Arial"/>
                <w:sz w:val="22"/>
                <w:szCs w:val="22"/>
              </w:rPr>
              <w:t>All sizes</w:t>
            </w:r>
          </w:p>
        </w:tc>
        <w:tc>
          <w:tcPr>
            <w:tcW w:w="5670" w:type="dxa"/>
            <w:shd w:val="clear" w:color="auto" w:fill="FFFFFF" w:themeFill="background1"/>
          </w:tcPr>
          <w:p w:rsidR="007D7A10" w:rsidRDefault="007D7A10" w:rsidP="007D7A10">
            <w:pPr>
              <w:rPr>
                <w:rFonts w:ascii="Arial" w:hAnsi="Arial" w:cs="Arial"/>
                <w:sz w:val="22"/>
                <w:szCs w:val="22"/>
              </w:rPr>
            </w:pPr>
            <w:r>
              <w:rPr>
                <w:rFonts w:ascii="Arial" w:hAnsi="Arial" w:cs="Arial"/>
                <w:sz w:val="22"/>
                <w:szCs w:val="22"/>
              </w:rPr>
              <w:t xml:space="preserve">5% of dwellings in a development </w:t>
            </w:r>
            <w:r w:rsidR="001D1A71">
              <w:rPr>
                <w:rFonts w:ascii="Arial" w:hAnsi="Arial" w:cs="Arial"/>
                <w:sz w:val="22"/>
                <w:szCs w:val="22"/>
              </w:rPr>
              <w:t xml:space="preserve">dwelling yield </w:t>
            </w:r>
            <w:r>
              <w:rPr>
                <w:rFonts w:ascii="Arial" w:hAnsi="Arial" w:cs="Arial"/>
                <w:sz w:val="22"/>
                <w:szCs w:val="22"/>
              </w:rPr>
              <w:t xml:space="preserve">under existing planning controls (i.e. not including </w:t>
            </w:r>
            <w:r w:rsidR="001D1A71">
              <w:rPr>
                <w:rFonts w:ascii="Arial" w:hAnsi="Arial" w:cs="Arial"/>
                <w:sz w:val="22"/>
                <w:szCs w:val="22"/>
              </w:rPr>
              <w:t xml:space="preserve">the </w:t>
            </w:r>
            <w:r>
              <w:rPr>
                <w:rFonts w:ascii="Arial" w:hAnsi="Arial" w:cs="Arial"/>
                <w:sz w:val="22"/>
                <w:szCs w:val="22"/>
              </w:rPr>
              <w:t>uplift component, where applicable) will be dedicated to Council as affordable housing a</w:t>
            </w:r>
            <w:r w:rsidR="001D1A71">
              <w:rPr>
                <w:rFonts w:ascii="Arial" w:hAnsi="Arial" w:cs="Arial"/>
                <w:sz w:val="22"/>
                <w:szCs w:val="22"/>
              </w:rPr>
              <w:t>t</w:t>
            </w:r>
            <w:r>
              <w:rPr>
                <w:rFonts w:ascii="Arial" w:hAnsi="Arial" w:cs="Arial"/>
                <w:sz w:val="22"/>
                <w:szCs w:val="22"/>
              </w:rPr>
              <w:t xml:space="preserve"> no cost. Where the total project dwelling yield is less than 100 dwellings, Council will consider a combination of cash contribution and dwelling dedication.</w:t>
            </w:r>
          </w:p>
          <w:p w:rsidR="007D7A10" w:rsidRDefault="007D7A10" w:rsidP="007D7A10">
            <w:pPr>
              <w:rPr>
                <w:rFonts w:ascii="Arial" w:hAnsi="Arial" w:cs="Arial"/>
                <w:sz w:val="22"/>
                <w:szCs w:val="22"/>
              </w:rPr>
            </w:pPr>
          </w:p>
        </w:tc>
      </w:tr>
      <w:tr w:rsidR="007D7A10" w:rsidRPr="00D86B5F" w:rsidTr="007D7A10">
        <w:tc>
          <w:tcPr>
            <w:tcW w:w="1542" w:type="dxa"/>
            <w:vMerge/>
            <w:shd w:val="clear" w:color="auto" w:fill="FFFFFF" w:themeFill="background1"/>
          </w:tcPr>
          <w:p w:rsidR="007D7A10" w:rsidRDefault="007D7A10" w:rsidP="007D7A10">
            <w:pPr>
              <w:rPr>
                <w:rFonts w:ascii="Arial" w:hAnsi="Arial" w:cs="Arial"/>
                <w:sz w:val="22"/>
                <w:szCs w:val="22"/>
              </w:rPr>
            </w:pPr>
          </w:p>
        </w:tc>
        <w:tc>
          <w:tcPr>
            <w:tcW w:w="1561" w:type="dxa"/>
            <w:vMerge/>
            <w:shd w:val="clear" w:color="auto" w:fill="FFFFFF" w:themeFill="background1"/>
          </w:tcPr>
          <w:p w:rsidR="007D7A10" w:rsidRDefault="007D7A10" w:rsidP="007D7A10">
            <w:pPr>
              <w:rPr>
                <w:rFonts w:ascii="Arial" w:hAnsi="Arial" w:cs="Arial"/>
                <w:sz w:val="22"/>
                <w:szCs w:val="22"/>
              </w:rPr>
            </w:pPr>
          </w:p>
        </w:tc>
        <w:tc>
          <w:tcPr>
            <w:tcW w:w="5670" w:type="dxa"/>
            <w:shd w:val="clear" w:color="auto" w:fill="FFFFFF" w:themeFill="background1"/>
          </w:tcPr>
          <w:p w:rsidR="007D7A10" w:rsidRPr="007D7A10" w:rsidRDefault="007D7A10" w:rsidP="007D7A10">
            <w:pPr>
              <w:jc w:val="center"/>
              <w:rPr>
                <w:rFonts w:ascii="Arial" w:hAnsi="Arial" w:cs="Arial"/>
                <w:b/>
                <w:sz w:val="22"/>
                <w:szCs w:val="22"/>
              </w:rPr>
            </w:pPr>
            <w:r w:rsidRPr="007D7A10">
              <w:rPr>
                <w:rFonts w:ascii="Arial" w:hAnsi="Arial" w:cs="Arial"/>
                <w:b/>
                <w:sz w:val="22"/>
                <w:szCs w:val="22"/>
              </w:rPr>
              <w:t>Plus</w:t>
            </w:r>
          </w:p>
        </w:tc>
      </w:tr>
      <w:tr w:rsidR="007D7A10" w:rsidRPr="00D86B5F" w:rsidTr="007D7A10">
        <w:tc>
          <w:tcPr>
            <w:tcW w:w="1542" w:type="dxa"/>
            <w:vMerge/>
            <w:shd w:val="clear" w:color="auto" w:fill="FFFFFF" w:themeFill="background1"/>
          </w:tcPr>
          <w:p w:rsidR="007D7A10" w:rsidRDefault="007D7A10" w:rsidP="007D7A10">
            <w:pPr>
              <w:rPr>
                <w:rFonts w:ascii="Arial" w:hAnsi="Arial" w:cs="Arial"/>
                <w:sz w:val="22"/>
                <w:szCs w:val="22"/>
              </w:rPr>
            </w:pPr>
          </w:p>
        </w:tc>
        <w:tc>
          <w:tcPr>
            <w:tcW w:w="1561" w:type="dxa"/>
            <w:vMerge/>
            <w:shd w:val="clear" w:color="auto" w:fill="FFFFFF" w:themeFill="background1"/>
          </w:tcPr>
          <w:p w:rsidR="007D7A10" w:rsidRDefault="007D7A10" w:rsidP="007D7A10">
            <w:pPr>
              <w:rPr>
                <w:rFonts w:ascii="Arial" w:hAnsi="Arial" w:cs="Arial"/>
                <w:sz w:val="22"/>
                <w:szCs w:val="22"/>
              </w:rPr>
            </w:pPr>
          </w:p>
        </w:tc>
        <w:tc>
          <w:tcPr>
            <w:tcW w:w="5670" w:type="dxa"/>
            <w:shd w:val="clear" w:color="auto" w:fill="FFFFFF" w:themeFill="background1"/>
          </w:tcPr>
          <w:p w:rsidR="007D7A10" w:rsidRDefault="007D7A10" w:rsidP="007D7A10">
            <w:pPr>
              <w:rPr>
                <w:rFonts w:ascii="Arial" w:hAnsi="Arial" w:cs="Arial"/>
                <w:sz w:val="22"/>
                <w:szCs w:val="22"/>
              </w:rPr>
            </w:pPr>
            <w:r>
              <w:rPr>
                <w:rFonts w:ascii="Arial" w:hAnsi="Arial" w:cs="Arial"/>
                <w:sz w:val="22"/>
                <w:szCs w:val="22"/>
              </w:rPr>
              <w:t xml:space="preserve">As </w:t>
            </w:r>
            <w:r w:rsidR="00441A0D">
              <w:rPr>
                <w:rFonts w:ascii="Arial" w:hAnsi="Arial" w:cs="Arial"/>
                <w:sz w:val="22"/>
                <w:szCs w:val="22"/>
              </w:rPr>
              <w:t>a component included in</w:t>
            </w:r>
            <w:r>
              <w:rPr>
                <w:rFonts w:ascii="Arial" w:hAnsi="Arial" w:cs="Arial"/>
                <w:sz w:val="22"/>
                <w:szCs w:val="22"/>
              </w:rPr>
              <w:t xml:space="preserve"> the VPA Policy, 10% of the uplift value of the development will be dedicated to Council as affordable housing dwellings at no cost (once SEPP 70 inclusion is achieved, this 10% will be </w:t>
            </w:r>
            <w:r>
              <w:rPr>
                <w:rFonts w:ascii="Arial" w:hAnsi="Arial" w:cs="Arial"/>
                <w:sz w:val="22"/>
                <w:szCs w:val="22"/>
              </w:rPr>
              <w:lastRenderedPageBreak/>
              <w:t>subtracted from the VPA value capture rate to ensure that total contribution of uplift value does not exceed 50% in accordance with the draft VPA Policy)</w:t>
            </w:r>
          </w:p>
          <w:p w:rsidR="007D7A10" w:rsidRDefault="007D7A10" w:rsidP="007D7A10">
            <w:pPr>
              <w:rPr>
                <w:rFonts w:ascii="Arial" w:hAnsi="Arial" w:cs="Arial"/>
                <w:sz w:val="22"/>
                <w:szCs w:val="22"/>
              </w:rPr>
            </w:pPr>
          </w:p>
        </w:tc>
      </w:tr>
    </w:tbl>
    <w:p w:rsidR="001F3473" w:rsidRDefault="001F3473" w:rsidP="0040064F">
      <w:pPr>
        <w:ind w:left="720"/>
        <w:rPr>
          <w:rFonts w:ascii="Arial" w:hAnsi="Arial" w:cs="Arial"/>
          <w:sz w:val="22"/>
          <w:szCs w:val="22"/>
        </w:rPr>
      </w:pPr>
    </w:p>
    <w:p w:rsidR="003F51BA" w:rsidRDefault="00B63671" w:rsidP="00D16324">
      <w:pPr>
        <w:ind w:left="720"/>
        <w:jc w:val="both"/>
        <w:rPr>
          <w:rFonts w:ascii="Arial" w:hAnsi="Arial" w:cs="Arial"/>
          <w:sz w:val="22"/>
          <w:szCs w:val="22"/>
        </w:rPr>
      </w:pPr>
      <w:r>
        <w:rPr>
          <w:rFonts w:ascii="Arial" w:hAnsi="Arial" w:cs="Arial"/>
          <w:sz w:val="22"/>
          <w:szCs w:val="22"/>
        </w:rPr>
        <w:t xml:space="preserve">In order to </w:t>
      </w:r>
      <w:r w:rsidR="00682165">
        <w:rPr>
          <w:rFonts w:ascii="Arial" w:hAnsi="Arial" w:cs="Arial"/>
          <w:sz w:val="22"/>
          <w:szCs w:val="22"/>
        </w:rPr>
        <w:t>achieve inclusion in SEPP 70</w:t>
      </w:r>
      <w:r>
        <w:rPr>
          <w:rFonts w:ascii="Arial" w:hAnsi="Arial" w:cs="Arial"/>
          <w:sz w:val="22"/>
          <w:szCs w:val="22"/>
        </w:rPr>
        <w:t>, Council will undertake the required feasibility assessment and apply to the NSW Gov</w:t>
      </w:r>
      <w:r w:rsidR="009A04DE">
        <w:rPr>
          <w:rFonts w:ascii="Arial" w:hAnsi="Arial" w:cs="Arial"/>
          <w:sz w:val="22"/>
          <w:szCs w:val="22"/>
        </w:rPr>
        <w:t>ernment for this to be enacted.</w:t>
      </w:r>
    </w:p>
    <w:p w:rsidR="00687B40" w:rsidRDefault="00687B40" w:rsidP="00D16324">
      <w:pPr>
        <w:jc w:val="both"/>
        <w:rPr>
          <w:rFonts w:ascii="Arial" w:hAnsi="Arial" w:cs="Arial"/>
          <w:sz w:val="22"/>
          <w:szCs w:val="22"/>
        </w:rPr>
      </w:pPr>
    </w:p>
    <w:p w:rsidR="00146C42" w:rsidRPr="00146C42" w:rsidRDefault="001F3473" w:rsidP="00D16324">
      <w:pPr>
        <w:ind w:left="720"/>
        <w:jc w:val="both"/>
        <w:rPr>
          <w:rFonts w:ascii="Arial" w:hAnsi="Arial" w:cs="Arial"/>
          <w:sz w:val="22"/>
          <w:szCs w:val="22"/>
        </w:rPr>
      </w:pPr>
      <w:r>
        <w:rPr>
          <w:rFonts w:ascii="Arial" w:hAnsi="Arial" w:cs="Arial"/>
          <w:sz w:val="22"/>
          <w:szCs w:val="22"/>
        </w:rPr>
        <w:t>T</w:t>
      </w:r>
      <w:r w:rsidR="009C3A8D">
        <w:rPr>
          <w:rFonts w:ascii="Arial" w:hAnsi="Arial" w:cs="Arial"/>
          <w:sz w:val="22"/>
          <w:szCs w:val="22"/>
        </w:rPr>
        <w:t>he approach outlined in Action 5</w:t>
      </w:r>
      <w:r w:rsidR="00B06FA1">
        <w:rPr>
          <w:rFonts w:ascii="Arial" w:hAnsi="Arial" w:cs="Arial"/>
          <w:sz w:val="22"/>
          <w:szCs w:val="22"/>
        </w:rPr>
        <w:t xml:space="preserve"> </w:t>
      </w:r>
      <w:r w:rsidR="0031170B">
        <w:rPr>
          <w:rFonts w:ascii="Arial" w:hAnsi="Arial" w:cs="Arial"/>
          <w:sz w:val="22"/>
          <w:szCs w:val="22"/>
        </w:rPr>
        <w:t>applies</w:t>
      </w:r>
      <w:r w:rsidR="006A3282">
        <w:rPr>
          <w:rFonts w:ascii="Arial" w:hAnsi="Arial" w:cs="Arial"/>
          <w:sz w:val="22"/>
          <w:szCs w:val="22"/>
        </w:rPr>
        <w:t xml:space="preserve"> unless the NSW Government approves the inclusion of the Greater</w:t>
      </w:r>
      <w:r w:rsidR="00CA0EF2">
        <w:rPr>
          <w:rFonts w:ascii="Arial" w:hAnsi="Arial" w:cs="Arial"/>
          <w:sz w:val="22"/>
          <w:szCs w:val="22"/>
        </w:rPr>
        <w:t xml:space="preserve"> Sydney Region under </w:t>
      </w:r>
      <w:r w:rsidR="0031170B">
        <w:rPr>
          <w:rFonts w:ascii="Arial" w:hAnsi="Arial" w:cs="Arial"/>
          <w:sz w:val="22"/>
          <w:szCs w:val="22"/>
        </w:rPr>
        <w:t>SEPP</w:t>
      </w:r>
      <w:r w:rsidR="00CA0EF2">
        <w:rPr>
          <w:rFonts w:ascii="Arial" w:hAnsi="Arial" w:cs="Arial"/>
          <w:sz w:val="22"/>
          <w:szCs w:val="22"/>
        </w:rPr>
        <w:t xml:space="preserve"> 70</w:t>
      </w:r>
      <w:r w:rsidR="006A3282">
        <w:rPr>
          <w:rFonts w:ascii="Arial" w:hAnsi="Arial" w:cs="Arial"/>
          <w:sz w:val="22"/>
          <w:szCs w:val="22"/>
        </w:rPr>
        <w:t xml:space="preserve"> or an equivalent </w:t>
      </w:r>
      <w:r w:rsidR="002D3663">
        <w:rPr>
          <w:rFonts w:ascii="Arial" w:hAnsi="Arial" w:cs="Arial"/>
          <w:sz w:val="22"/>
          <w:szCs w:val="22"/>
        </w:rPr>
        <w:t xml:space="preserve">planning policy </w:t>
      </w:r>
      <w:r w:rsidR="006A3282">
        <w:rPr>
          <w:rFonts w:ascii="Arial" w:hAnsi="Arial" w:cs="Arial"/>
          <w:sz w:val="22"/>
          <w:szCs w:val="22"/>
        </w:rPr>
        <w:t>mechanism that allows Council to apply inclusionary zoning that mandates the delivery of Council’s affordable rental housing yi</w:t>
      </w:r>
      <w:r w:rsidR="00E95DBF">
        <w:rPr>
          <w:rFonts w:ascii="Arial" w:hAnsi="Arial" w:cs="Arial"/>
          <w:sz w:val="22"/>
          <w:szCs w:val="22"/>
        </w:rPr>
        <w:t>eld percentages</w:t>
      </w:r>
      <w:r w:rsidR="006A3282" w:rsidRPr="006A3282">
        <w:rPr>
          <w:rFonts w:ascii="Arial" w:hAnsi="Arial" w:cs="Arial"/>
          <w:sz w:val="22"/>
          <w:szCs w:val="22"/>
        </w:rPr>
        <w:t xml:space="preserve"> </w:t>
      </w:r>
      <w:r>
        <w:rPr>
          <w:rFonts w:ascii="Arial" w:hAnsi="Arial" w:cs="Arial"/>
          <w:sz w:val="22"/>
          <w:szCs w:val="22"/>
        </w:rPr>
        <w:t xml:space="preserve">as specified in </w:t>
      </w:r>
      <w:r w:rsidR="009F1BFE">
        <w:rPr>
          <w:rFonts w:ascii="Arial" w:hAnsi="Arial" w:cs="Arial"/>
          <w:sz w:val="22"/>
          <w:szCs w:val="22"/>
        </w:rPr>
        <w:t>Action 4</w:t>
      </w:r>
      <w:r w:rsidR="006A3282">
        <w:rPr>
          <w:rFonts w:ascii="Arial" w:hAnsi="Arial" w:cs="Arial"/>
          <w:sz w:val="22"/>
          <w:szCs w:val="22"/>
        </w:rPr>
        <w:t xml:space="preserve"> of this Policy.</w:t>
      </w:r>
    </w:p>
    <w:p w:rsidR="006658D7" w:rsidRDefault="006658D7" w:rsidP="00D16324">
      <w:pPr>
        <w:jc w:val="both"/>
        <w:rPr>
          <w:rFonts w:ascii="Arial" w:hAnsi="Arial" w:cs="Arial"/>
          <w:b/>
          <w:sz w:val="22"/>
          <w:szCs w:val="22"/>
        </w:rPr>
      </w:pPr>
    </w:p>
    <w:p w:rsidR="00A71ED0" w:rsidRPr="00AB5F99" w:rsidRDefault="008E10E6" w:rsidP="00D16324">
      <w:pPr>
        <w:ind w:left="720"/>
        <w:jc w:val="both"/>
        <w:rPr>
          <w:rFonts w:ascii="Arial" w:hAnsi="Arial" w:cs="Arial"/>
          <w:b/>
          <w:sz w:val="22"/>
          <w:szCs w:val="22"/>
        </w:rPr>
      </w:pPr>
      <w:r w:rsidRPr="00AB5F99">
        <w:rPr>
          <w:rFonts w:ascii="Arial" w:hAnsi="Arial" w:cs="Arial"/>
          <w:b/>
          <w:sz w:val="22"/>
          <w:szCs w:val="22"/>
        </w:rPr>
        <w:t xml:space="preserve">Action </w:t>
      </w:r>
      <w:r w:rsidR="00EA403B" w:rsidRPr="00AB5F99">
        <w:rPr>
          <w:rFonts w:ascii="Arial" w:hAnsi="Arial" w:cs="Arial"/>
          <w:b/>
          <w:sz w:val="22"/>
          <w:szCs w:val="22"/>
        </w:rPr>
        <w:t>6</w:t>
      </w:r>
      <w:r w:rsidRPr="00AB5F99">
        <w:rPr>
          <w:rFonts w:ascii="Arial" w:hAnsi="Arial" w:cs="Arial"/>
          <w:b/>
          <w:sz w:val="22"/>
          <w:szCs w:val="22"/>
        </w:rPr>
        <w:t>.</w:t>
      </w:r>
      <w:r w:rsidR="00A16ECA" w:rsidRPr="00AB5F99">
        <w:rPr>
          <w:rFonts w:ascii="Arial" w:hAnsi="Arial" w:cs="Arial"/>
          <w:b/>
          <w:sz w:val="22"/>
          <w:szCs w:val="22"/>
        </w:rPr>
        <w:t xml:space="preserve"> </w:t>
      </w:r>
      <w:r w:rsidR="00A16ECA" w:rsidRPr="00AB5F99">
        <w:rPr>
          <w:rFonts w:ascii="Arial" w:hAnsi="Arial" w:cs="Arial"/>
          <w:b/>
          <w:bCs/>
          <w:sz w:val="22"/>
          <w:szCs w:val="22"/>
          <w:lang w:val="en-AU"/>
        </w:rPr>
        <w:t>Pursue affordable housing developme</w:t>
      </w:r>
      <w:r w:rsidR="00515A04" w:rsidRPr="00AB5F99">
        <w:rPr>
          <w:rFonts w:ascii="Arial" w:hAnsi="Arial" w:cs="Arial"/>
          <w:b/>
          <w:bCs/>
          <w:sz w:val="22"/>
          <w:szCs w:val="22"/>
          <w:lang w:val="en-AU"/>
        </w:rPr>
        <w:t>nts on C</w:t>
      </w:r>
      <w:r w:rsidR="009D3E36">
        <w:rPr>
          <w:rFonts w:ascii="Arial" w:hAnsi="Arial" w:cs="Arial"/>
          <w:b/>
          <w:bCs/>
          <w:sz w:val="22"/>
          <w:szCs w:val="22"/>
          <w:lang w:val="en-AU"/>
        </w:rPr>
        <w:t>ouncil-owned land</w:t>
      </w:r>
    </w:p>
    <w:p w:rsidR="00A16ECA" w:rsidRPr="00AB5F99" w:rsidRDefault="00682165" w:rsidP="00D16324">
      <w:pPr>
        <w:ind w:left="720"/>
        <w:jc w:val="both"/>
        <w:rPr>
          <w:rFonts w:ascii="Arial" w:hAnsi="Arial" w:cs="Arial"/>
          <w:sz w:val="22"/>
          <w:szCs w:val="22"/>
        </w:rPr>
      </w:pPr>
      <w:r w:rsidRPr="00AB5F99">
        <w:rPr>
          <w:rFonts w:ascii="Arial" w:hAnsi="Arial" w:cs="Arial"/>
          <w:sz w:val="22"/>
          <w:szCs w:val="22"/>
        </w:rPr>
        <w:t>Maximising use of public land is o</w:t>
      </w:r>
      <w:r w:rsidR="004510DA" w:rsidRPr="00AB5F99">
        <w:rPr>
          <w:rFonts w:ascii="Arial" w:hAnsi="Arial" w:cs="Arial"/>
          <w:sz w:val="22"/>
          <w:szCs w:val="22"/>
        </w:rPr>
        <w:t>ne of the five affordable housing game changers identified by t</w:t>
      </w:r>
      <w:r w:rsidRPr="00AB5F99">
        <w:rPr>
          <w:rFonts w:ascii="Arial" w:hAnsi="Arial" w:cs="Arial"/>
          <w:sz w:val="22"/>
          <w:szCs w:val="22"/>
        </w:rPr>
        <w:t>he Committee for Sydney</w:t>
      </w:r>
      <w:r w:rsidR="000B606A" w:rsidRPr="00AB5F99">
        <w:rPr>
          <w:rFonts w:ascii="Arial" w:hAnsi="Arial" w:cs="Arial"/>
          <w:sz w:val="22"/>
          <w:szCs w:val="22"/>
        </w:rPr>
        <w:t>.</w:t>
      </w:r>
      <w:r w:rsidR="004510DA" w:rsidRPr="00AB5F99">
        <w:rPr>
          <w:rStyle w:val="FootnoteReference"/>
          <w:rFonts w:ascii="Arial" w:hAnsi="Arial" w:cs="Arial"/>
          <w:sz w:val="22"/>
          <w:szCs w:val="22"/>
        </w:rPr>
        <w:footnoteReference w:id="14"/>
      </w:r>
      <w:r w:rsidR="004510DA" w:rsidRPr="00AB5F99">
        <w:rPr>
          <w:rFonts w:ascii="Arial" w:hAnsi="Arial" w:cs="Arial"/>
          <w:sz w:val="22"/>
          <w:szCs w:val="22"/>
        </w:rPr>
        <w:t xml:space="preserve"> </w:t>
      </w:r>
      <w:r w:rsidR="002E7BC1" w:rsidRPr="00AB5F99">
        <w:rPr>
          <w:rFonts w:ascii="Arial" w:hAnsi="Arial" w:cs="Arial"/>
          <w:sz w:val="22"/>
          <w:szCs w:val="22"/>
        </w:rPr>
        <w:t>Council</w:t>
      </w:r>
      <w:r w:rsidR="004510DA" w:rsidRPr="00AB5F99">
        <w:rPr>
          <w:rFonts w:ascii="Arial" w:hAnsi="Arial" w:cs="Arial"/>
          <w:sz w:val="22"/>
          <w:szCs w:val="22"/>
        </w:rPr>
        <w:t xml:space="preserve"> </w:t>
      </w:r>
      <w:r w:rsidR="00672DDF" w:rsidRPr="00AB5F99">
        <w:rPr>
          <w:rFonts w:ascii="Arial" w:hAnsi="Arial" w:cs="Arial"/>
          <w:sz w:val="22"/>
          <w:szCs w:val="22"/>
        </w:rPr>
        <w:t>will seek to</w:t>
      </w:r>
      <w:r w:rsidR="004510DA" w:rsidRPr="00AB5F99">
        <w:rPr>
          <w:rFonts w:ascii="Arial" w:hAnsi="Arial" w:cs="Arial"/>
          <w:sz w:val="22"/>
          <w:szCs w:val="22"/>
        </w:rPr>
        <w:t xml:space="preserve"> allocate land for affordable </w:t>
      </w:r>
      <w:r w:rsidR="00672DDF" w:rsidRPr="00AB5F99">
        <w:rPr>
          <w:rFonts w:ascii="Arial" w:hAnsi="Arial" w:cs="Arial"/>
          <w:sz w:val="22"/>
          <w:szCs w:val="22"/>
        </w:rPr>
        <w:t xml:space="preserve">rental </w:t>
      </w:r>
      <w:r w:rsidR="004510DA" w:rsidRPr="00AB5F99">
        <w:rPr>
          <w:rFonts w:ascii="Arial" w:hAnsi="Arial" w:cs="Arial"/>
          <w:sz w:val="22"/>
          <w:szCs w:val="22"/>
        </w:rPr>
        <w:t>housing projects</w:t>
      </w:r>
      <w:r w:rsidR="00672DDF" w:rsidRPr="00AB5F99">
        <w:rPr>
          <w:rFonts w:ascii="Arial" w:hAnsi="Arial" w:cs="Arial"/>
          <w:sz w:val="22"/>
          <w:szCs w:val="22"/>
        </w:rPr>
        <w:t xml:space="preserve"> on its own land</w:t>
      </w:r>
      <w:r w:rsidR="004510DA" w:rsidRPr="00AB5F99">
        <w:rPr>
          <w:rFonts w:ascii="Arial" w:hAnsi="Arial" w:cs="Arial"/>
          <w:sz w:val="22"/>
          <w:szCs w:val="22"/>
        </w:rPr>
        <w:t>. In order to realise the affordable rental housing target and to lead by example, C</w:t>
      </w:r>
      <w:r w:rsidR="009D3E36">
        <w:rPr>
          <w:rFonts w:ascii="Arial" w:hAnsi="Arial" w:cs="Arial"/>
          <w:sz w:val="22"/>
          <w:szCs w:val="22"/>
        </w:rPr>
        <w:t xml:space="preserve">ouncil will actively consider </w:t>
      </w:r>
      <w:r w:rsidR="004510DA" w:rsidRPr="00AB5F99">
        <w:rPr>
          <w:rFonts w:ascii="Arial" w:hAnsi="Arial" w:cs="Arial"/>
          <w:sz w:val="22"/>
          <w:szCs w:val="22"/>
        </w:rPr>
        <w:t>project</w:t>
      </w:r>
      <w:r w:rsidR="009D3E36">
        <w:rPr>
          <w:rFonts w:ascii="Arial" w:hAnsi="Arial" w:cs="Arial"/>
          <w:sz w:val="22"/>
          <w:szCs w:val="22"/>
        </w:rPr>
        <w:t>s</w:t>
      </w:r>
      <w:r w:rsidR="004510DA" w:rsidRPr="00AB5F99">
        <w:rPr>
          <w:rFonts w:ascii="Arial" w:hAnsi="Arial" w:cs="Arial"/>
          <w:sz w:val="22"/>
          <w:szCs w:val="22"/>
        </w:rPr>
        <w:t xml:space="preserve"> on Council-owned or managed land that could deliver appropriately located affordable housing.</w:t>
      </w:r>
      <w:r w:rsidR="00845774" w:rsidRPr="00AB5F99">
        <w:rPr>
          <w:rFonts w:ascii="Arial" w:hAnsi="Arial" w:cs="Arial"/>
          <w:sz w:val="22"/>
          <w:szCs w:val="22"/>
        </w:rPr>
        <w:t xml:space="preserve"> </w:t>
      </w:r>
      <w:r w:rsidR="009D3E36">
        <w:rPr>
          <w:rFonts w:ascii="Arial" w:hAnsi="Arial" w:cs="Arial"/>
          <w:sz w:val="22"/>
          <w:szCs w:val="22"/>
        </w:rPr>
        <w:t>In projects pursued by Council that include a residential component, Council will aim to deliver 30% of the total dwellings as affordable rental housing.</w:t>
      </w:r>
    </w:p>
    <w:p w:rsidR="00146C42" w:rsidRPr="00AB5F99" w:rsidRDefault="00146C42" w:rsidP="00D16324">
      <w:pPr>
        <w:ind w:left="720"/>
        <w:jc w:val="both"/>
        <w:rPr>
          <w:rFonts w:ascii="Arial" w:hAnsi="Arial" w:cs="Arial"/>
          <w:sz w:val="22"/>
          <w:szCs w:val="22"/>
        </w:rPr>
      </w:pPr>
    </w:p>
    <w:p w:rsidR="00AB5F99" w:rsidRDefault="00AB5F99" w:rsidP="00D16324">
      <w:pPr>
        <w:ind w:left="720"/>
        <w:jc w:val="both"/>
        <w:rPr>
          <w:rFonts w:ascii="Arial" w:hAnsi="Arial" w:cs="Arial"/>
          <w:sz w:val="22"/>
          <w:szCs w:val="22"/>
        </w:rPr>
      </w:pPr>
      <w:r>
        <w:rPr>
          <w:rFonts w:ascii="Arial" w:hAnsi="Arial" w:cs="Arial"/>
          <w:sz w:val="22"/>
          <w:szCs w:val="22"/>
        </w:rPr>
        <w:t>In order to ensure the economic viabil</w:t>
      </w:r>
      <w:r w:rsidR="009D3E36">
        <w:rPr>
          <w:rFonts w:ascii="Arial" w:hAnsi="Arial" w:cs="Arial"/>
          <w:sz w:val="22"/>
          <w:szCs w:val="22"/>
        </w:rPr>
        <w:t>ity of a project that includes up to</w:t>
      </w:r>
      <w:r>
        <w:rPr>
          <w:rFonts w:ascii="Arial" w:hAnsi="Arial" w:cs="Arial"/>
          <w:sz w:val="22"/>
          <w:szCs w:val="22"/>
        </w:rPr>
        <w:t xml:space="preserve"> 30% yield of affordable housing, </w:t>
      </w:r>
      <w:r w:rsidR="00146C42" w:rsidRPr="00AB5F99">
        <w:rPr>
          <w:rFonts w:ascii="Arial" w:hAnsi="Arial" w:cs="Arial"/>
          <w:sz w:val="22"/>
          <w:szCs w:val="22"/>
        </w:rPr>
        <w:t>Council will seek to partner with community housing providers, dev</w:t>
      </w:r>
      <w:r w:rsidR="009D3E36">
        <w:rPr>
          <w:rFonts w:ascii="Arial" w:hAnsi="Arial" w:cs="Arial"/>
          <w:sz w:val="22"/>
          <w:szCs w:val="22"/>
        </w:rPr>
        <w:t>elopers, and/or other tiers of g</w:t>
      </w:r>
      <w:r w:rsidR="00146C42" w:rsidRPr="00AB5F99">
        <w:rPr>
          <w:rFonts w:ascii="Arial" w:hAnsi="Arial" w:cs="Arial"/>
          <w:sz w:val="22"/>
          <w:szCs w:val="22"/>
        </w:rPr>
        <w:t>overnment</w:t>
      </w:r>
      <w:r>
        <w:rPr>
          <w:rFonts w:ascii="Arial" w:hAnsi="Arial" w:cs="Arial"/>
          <w:sz w:val="22"/>
          <w:szCs w:val="22"/>
        </w:rPr>
        <w:t>. This will be negotiated on the basis of what resources any potential project partners can contribute to share in the capital and operational cost of such a project.</w:t>
      </w:r>
    </w:p>
    <w:p w:rsidR="00AB5F99" w:rsidRDefault="00AB5F99" w:rsidP="00D16324">
      <w:pPr>
        <w:ind w:left="720"/>
        <w:jc w:val="both"/>
        <w:rPr>
          <w:rFonts w:ascii="Arial" w:hAnsi="Arial" w:cs="Arial"/>
          <w:sz w:val="22"/>
          <w:szCs w:val="22"/>
        </w:rPr>
      </w:pPr>
    </w:p>
    <w:p w:rsidR="00AB5F99" w:rsidRDefault="009D3E36" w:rsidP="009D3E36">
      <w:pPr>
        <w:ind w:left="720"/>
        <w:jc w:val="both"/>
        <w:rPr>
          <w:rFonts w:ascii="Arial" w:hAnsi="Arial" w:cs="Arial"/>
          <w:sz w:val="22"/>
          <w:szCs w:val="22"/>
        </w:rPr>
      </w:pPr>
      <w:r>
        <w:rPr>
          <w:rFonts w:ascii="Arial" w:hAnsi="Arial" w:cs="Arial"/>
          <w:sz w:val="22"/>
          <w:szCs w:val="22"/>
        </w:rPr>
        <w:t xml:space="preserve">In keeping with this target, </w:t>
      </w:r>
      <w:r w:rsidR="00146C42" w:rsidRPr="00AB5F99">
        <w:rPr>
          <w:rFonts w:ascii="Arial" w:hAnsi="Arial" w:cs="Arial"/>
          <w:sz w:val="22"/>
          <w:szCs w:val="22"/>
        </w:rPr>
        <w:t xml:space="preserve">Council will </w:t>
      </w:r>
      <w:r>
        <w:rPr>
          <w:rFonts w:ascii="Arial" w:hAnsi="Arial" w:cs="Arial"/>
          <w:sz w:val="22"/>
          <w:szCs w:val="22"/>
        </w:rPr>
        <w:t xml:space="preserve">also </w:t>
      </w:r>
      <w:r w:rsidR="00146C42" w:rsidRPr="00AB5F99">
        <w:rPr>
          <w:rFonts w:ascii="Arial" w:hAnsi="Arial" w:cs="Arial"/>
          <w:sz w:val="22"/>
          <w:szCs w:val="22"/>
        </w:rPr>
        <w:t xml:space="preserve">seek </w:t>
      </w:r>
      <w:r>
        <w:rPr>
          <w:rFonts w:ascii="Arial" w:hAnsi="Arial" w:cs="Arial"/>
          <w:sz w:val="22"/>
          <w:szCs w:val="22"/>
        </w:rPr>
        <w:t xml:space="preserve">30% affordable housing provision </w:t>
      </w:r>
      <w:r w:rsidR="00146C42" w:rsidRPr="00AB5F99">
        <w:rPr>
          <w:rFonts w:ascii="Arial" w:hAnsi="Arial" w:cs="Arial"/>
          <w:sz w:val="22"/>
          <w:szCs w:val="22"/>
        </w:rPr>
        <w:t xml:space="preserve">on </w:t>
      </w:r>
      <w:r>
        <w:rPr>
          <w:rFonts w:ascii="Arial" w:hAnsi="Arial" w:cs="Arial"/>
          <w:sz w:val="22"/>
          <w:szCs w:val="22"/>
        </w:rPr>
        <w:t xml:space="preserve">residential development projects proposed on </w:t>
      </w:r>
      <w:r w:rsidR="00AB5F99">
        <w:rPr>
          <w:rFonts w:ascii="Arial" w:hAnsi="Arial" w:cs="Arial"/>
          <w:sz w:val="22"/>
          <w:szCs w:val="22"/>
        </w:rPr>
        <w:t>land owned by t</w:t>
      </w:r>
      <w:r w:rsidR="0013399E">
        <w:rPr>
          <w:rFonts w:ascii="Arial" w:hAnsi="Arial" w:cs="Arial"/>
          <w:sz w:val="22"/>
          <w:szCs w:val="22"/>
        </w:rPr>
        <w:t>he Federal and State Governments as follows:</w:t>
      </w:r>
    </w:p>
    <w:p w:rsidR="009D3E36" w:rsidRPr="00094A3F" w:rsidRDefault="009D3E36" w:rsidP="00087E62">
      <w:pPr>
        <w:rPr>
          <w:rFonts w:ascii="Arial" w:hAnsi="Arial" w:cs="Arial"/>
          <w:sz w:val="22"/>
          <w:szCs w:val="22"/>
          <w:highlight w:val="yellow"/>
        </w:rPr>
      </w:pPr>
    </w:p>
    <w:tbl>
      <w:tblPr>
        <w:tblStyle w:val="TableGrid"/>
        <w:tblW w:w="0" w:type="auto"/>
        <w:tblInd w:w="704" w:type="dxa"/>
        <w:tblLook w:val="04A0" w:firstRow="1" w:lastRow="0" w:firstColumn="1" w:lastColumn="0" w:noHBand="0" w:noVBand="1"/>
      </w:tblPr>
      <w:tblGrid>
        <w:gridCol w:w="2126"/>
        <w:gridCol w:w="3119"/>
        <w:gridCol w:w="3445"/>
      </w:tblGrid>
      <w:tr w:rsidR="001F598F" w:rsidRPr="00AB5F99" w:rsidTr="007A5A8D">
        <w:trPr>
          <w:trHeight w:val="491"/>
        </w:trPr>
        <w:tc>
          <w:tcPr>
            <w:tcW w:w="8690" w:type="dxa"/>
            <w:gridSpan w:val="3"/>
            <w:shd w:val="clear" w:color="auto" w:fill="D9D9D9" w:themeFill="background1" w:themeFillShade="D9"/>
          </w:tcPr>
          <w:p w:rsidR="001F598F" w:rsidRPr="00AB5F99" w:rsidRDefault="001F598F" w:rsidP="001F598F">
            <w:pPr>
              <w:rPr>
                <w:rFonts w:ascii="Arial" w:hAnsi="Arial" w:cs="Arial"/>
                <w:b/>
                <w:sz w:val="22"/>
                <w:szCs w:val="22"/>
              </w:rPr>
            </w:pPr>
            <w:r w:rsidRPr="00AB5F99">
              <w:rPr>
                <w:rFonts w:ascii="Arial" w:hAnsi="Arial" w:cs="Arial"/>
                <w:b/>
                <w:sz w:val="22"/>
                <w:szCs w:val="22"/>
              </w:rPr>
              <w:t>Table 7. Proposed Affordable Housing Yield on Government Land</w:t>
            </w:r>
          </w:p>
        </w:tc>
      </w:tr>
      <w:tr w:rsidR="001F598F" w:rsidRPr="00AB5F99" w:rsidTr="008939A8">
        <w:tc>
          <w:tcPr>
            <w:tcW w:w="2126" w:type="dxa"/>
            <w:shd w:val="clear" w:color="auto" w:fill="D9D9D9" w:themeFill="background1" w:themeFillShade="D9"/>
          </w:tcPr>
          <w:p w:rsidR="001F598F" w:rsidRPr="00AB5F99" w:rsidRDefault="001F598F" w:rsidP="001F598F">
            <w:pPr>
              <w:jc w:val="center"/>
              <w:rPr>
                <w:rFonts w:ascii="Arial" w:hAnsi="Arial" w:cs="Arial"/>
                <w:b/>
                <w:sz w:val="22"/>
                <w:szCs w:val="22"/>
              </w:rPr>
            </w:pPr>
            <w:r w:rsidRPr="00AB5F99">
              <w:rPr>
                <w:rFonts w:ascii="Arial" w:hAnsi="Arial" w:cs="Arial"/>
                <w:b/>
                <w:sz w:val="22"/>
                <w:szCs w:val="22"/>
              </w:rPr>
              <w:t>Precinct development site</w:t>
            </w:r>
          </w:p>
        </w:tc>
        <w:tc>
          <w:tcPr>
            <w:tcW w:w="3119" w:type="dxa"/>
            <w:shd w:val="clear" w:color="auto" w:fill="D9D9D9" w:themeFill="background1" w:themeFillShade="D9"/>
          </w:tcPr>
          <w:p w:rsidR="001F598F" w:rsidRPr="00AB5F99" w:rsidRDefault="001F598F" w:rsidP="001F598F">
            <w:pPr>
              <w:jc w:val="center"/>
              <w:rPr>
                <w:rFonts w:ascii="Arial" w:hAnsi="Arial" w:cs="Arial"/>
                <w:b/>
                <w:sz w:val="22"/>
                <w:szCs w:val="22"/>
              </w:rPr>
            </w:pPr>
            <w:r w:rsidRPr="00AB5F99">
              <w:rPr>
                <w:rFonts w:ascii="Arial" w:hAnsi="Arial" w:cs="Arial"/>
                <w:b/>
                <w:sz w:val="22"/>
                <w:szCs w:val="22"/>
              </w:rPr>
              <w:t>Proportion of precinct dwellings to be affordable rental housing</w:t>
            </w:r>
          </w:p>
        </w:tc>
        <w:tc>
          <w:tcPr>
            <w:tcW w:w="3445" w:type="dxa"/>
            <w:shd w:val="clear" w:color="auto" w:fill="D9D9D9" w:themeFill="background1" w:themeFillShade="D9"/>
          </w:tcPr>
          <w:p w:rsidR="001F598F" w:rsidRPr="00AB5F99" w:rsidRDefault="001F598F" w:rsidP="001F598F">
            <w:pPr>
              <w:jc w:val="center"/>
              <w:rPr>
                <w:rFonts w:ascii="Arial" w:hAnsi="Arial" w:cs="Arial"/>
                <w:b/>
                <w:sz w:val="22"/>
                <w:szCs w:val="22"/>
              </w:rPr>
            </w:pPr>
            <w:r w:rsidRPr="00AB5F99">
              <w:rPr>
                <w:rFonts w:ascii="Arial" w:hAnsi="Arial" w:cs="Arial"/>
                <w:b/>
                <w:sz w:val="22"/>
                <w:szCs w:val="22"/>
              </w:rPr>
              <w:t>Delivery mechanism</w:t>
            </w:r>
          </w:p>
        </w:tc>
      </w:tr>
      <w:tr w:rsidR="00146C42" w:rsidRPr="00687B40" w:rsidTr="008939A8">
        <w:tc>
          <w:tcPr>
            <w:tcW w:w="2126" w:type="dxa"/>
            <w:vAlign w:val="center"/>
          </w:tcPr>
          <w:p w:rsidR="00146C42" w:rsidRPr="00AB5F99" w:rsidRDefault="00146C42" w:rsidP="008939A8">
            <w:pPr>
              <w:jc w:val="center"/>
              <w:rPr>
                <w:rFonts w:ascii="Arial" w:hAnsi="Arial" w:cs="Arial"/>
                <w:sz w:val="22"/>
                <w:szCs w:val="22"/>
              </w:rPr>
            </w:pPr>
            <w:r w:rsidRPr="00AB5F99">
              <w:rPr>
                <w:rFonts w:ascii="Arial" w:hAnsi="Arial" w:cs="Arial"/>
                <w:sz w:val="22"/>
                <w:szCs w:val="22"/>
              </w:rPr>
              <w:t>Government land</w:t>
            </w:r>
            <w:r w:rsidR="00AE5C5D">
              <w:rPr>
                <w:rFonts w:ascii="Arial" w:hAnsi="Arial" w:cs="Arial"/>
                <w:sz w:val="22"/>
                <w:szCs w:val="22"/>
              </w:rPr>
              <w:t xml:space="preserve"> (including Council)</w:t>
            </w:r>
          </w:p>
        </w:tc>
        <w:tc>
          <w:tcPr>
            <w:tcW w:w="3119" w:type="dxa"/>
            <w:vAlign w:val="center"/>
          </w:tcPr>
          <w:p w:rsidR="00146C42" w:rsidRPr="00AB5F99" w:rsidRDefault="00146C42" w:rsidP="008939A8">
            <w:pPr>
              <w:jc w:val="center"/>
              <w:rPr>
                <w:rFonts w:ascii="Arial" w:hAnsi="Arial" w:cs="Arial"/>
                <w:sz w:val="22"/>
                <w:szCs w:val="22"/>
              </w:rPr>
            </w:pPr>
            <w:r w:rsidRPr="00AB5F99">
              <w:rPr>
                <w:rFonts w:ascii="Arial" w:hAnsi="Arial" w:cs="Arial"/>
                <w:sz w:val="22"/>
                <w:szCs w:val="22"/>
              </w:rPr>
              <w:t>30%</w:t>
            </w:r>
          </w:p>
        </w:tc>
        <w:tc>
          <w:tcPr>
            <w:tcW w:w="3445" w:type="dxa"/>
            <w:vAlign w:val="center"/>
          </w:tcPr>
          <w:p w:rsidR="00146C42" w:rsidRDefault="00146C42" w:rsidP="00087E62">
            <w:pPr>
              <w:jc w:val="center"/>
              <w:rPr>
                <w:rFonts w:ascii="Arial" w:hAnsi="Arial" w:cs="Arial"/>
                <w:sz w:val="22"/>
                <w:szCs w:val="22"/>
              </w:rPr>
            </w:pPr>
            <w:r w:rsidRPr="00AB5F99">
              <w:rPr>
                <w:rFonts w:ascii="Arial" w:hAnsi="Arial" w:cs="Arial"/>
                <w:sz w:val="22"/>
                <w:szCs w:val="22"/>
              </w:rPr>
              <w:t>Affordable rental dwellings to be dedicated to Council or a Community Housing Provider at no cost</w:t>
            </w:r>
            <w:r w:rsidR="003B14E4">
              <w:rPr>
                <w:rFonts w:ascii="Arial" w:hAnsi="Arial" w:cs="Arial"/>
                <w:sz w:val="22"/>
                <w:szCs w:val="22"/>
              </w:rPr>
              <w:t xml:space="preserve"> to recipient</w:t>
            </w:r>
          </w:p>
          <w:p w:rsidR="00087E62" w:rsidRPr="00C768C6" w:rsidRDefault="00087E62" w:rsidP="00087E62">
            <w:pPr>
              <w:jc w:val="center"/>
              <w:rPr>
                <w:rFonts w:ascii="Arial" w:hAnsi="Arial" w:cs="Arial"/>
                <w:sz w:val="22"/>
                <w:szCs w:val="22"/>
              </w:rPr>
            </w:pPr>
          </w:p>
        </w:tc>
      </w:tr>
    </w:tbl>
    <w:p w:rsidR="00A16ECA" w:rsidRPr="00E56882" w:rsidRDefault="008E10E6" w:rsidP="00087E62">
      <w:pPr>
        <w:ind w:firstLine="720"/>
        <w:jc w:val="both"/>
        <w:rPr>
          <w:rFonts w:ascii="Arial" w:hAnsi="Arial" w:cs="Arial"/>
          <w:b/>
          <w:sz w:val="22"/>
          <w:szCs w:val="22"/>
        </w:rPr>
      </w:pPr>
      <w:r>
        <w:rPr>
          <w:rFonts w:ascii="Arial" w:hAnsi="Arial" w:cs="Arial"/>
          <w:b/>
          <w:sz w:val="22"/>
          <w:szCs w:val="22"/>
        </w:rPr>
        <w:lastRenderedPageBreak/>
        <w:t xml:space="preserve">Action </w:t>
      </w:r>
      <w:r w:rsidR="00EA403B">
        <w:rPr>
          <w:rFonts w:ascii="Arial" w:hAnsi="Arial" w:cs="Arial"/>
          <w:b/>
          <w:sz w:val="22"/>
          <w:szCs w:val="22"/>
        </w:rPr>
        <w:t>7</w:t>
      </w:r>
      <w:r>
        <w:rPr>
          <w:rFonts w:ascii="Arial" w:hAnsi="Arial" w:cs="Arial"/>
          <w:b/>
          <w:sz w:val="22"/>
          <w:szCs w:val="22"/>
        </w:rPr>
        <w:t>.</w:t>
      </w:r>
      <w:r w:rsidR="00A16ECA" w:rsidRPr="00E56882">
        <w:rPr>
          <w:rFonts w:ascii="Arial" w:hAnsi="Arial" w:cs="Arial"/>
          <w:b/>
          <w:sz w:val="22"/>
          <w:szCs w:val="22"/>
        </w:rPr>
        <w:t xml:space="preserve"> </w:t>
      </w:r>
      <w:r w:rsidR="00A16ECA" w:rsidRPr="00E56882">
        <w:rPr>
          <w:rFonts w:ascii="Arial" w:hAnsi="Arial" w:cs="Arial"/>
          <w:b/>
          <w:bCs/>
          <w:sz w:val="22"/>
          <w:szCs w:val="22"/>
          <w:lang w:val="en-AU"/>
        </w:rPr>
        <w:t>Explore developer</w:t>
      </w:r>
      <w:r w:rsidR="00A1608C">
        <w:rPr>
          <w:rFonts w:ascii="Arial" w:hAnsi="Arial" w:cs="Arial"/>
          <w:b/>
          <w:bCs/>
          <w:sz w:val="22"/>
          <w:szCs w:val="22"/>
          <w:lang w:val="en-AU"/>
        </w:rPr>
        <w:t xml:space="preserve"> partnerships to provide affordable rental housing</w:t>
      </w:r>
    </w:p>
    <w:p w:rsidR="00A16ECA" w:rsidRDefault="00F36B0A" w:rsidP="00D16324">
      <w:pPr>
        <w:ind w:left="720"/>
        <w:jc w:val="both"/>
        <w:rPr>
          <w:rFonts w:ascii="Arial" w:hAnsi="Arial" w:cs="Arial"/>
          <w:sz w:val="22"/>
          <w:szCs w:val="22"/>
        </w:rPr>
      </w:pPr>
      <w:r w:rsidRPr="00F36B0A">
        <w:rPr>
          <w:rFonts w:ascii="Arial" w:hAnsi="Arial" w:cs="Arial"/>
          <w:sz w:val="22"/>
          <w:szCs w:val="22"/>
        </w:rPr>
        <w:t xml:space="preserve">Council </w:t>
      </w:r>
      <w:r>
        <w:rPr>
          <w:rFonts w:ascii="Arial" w:hAnsi="Arial" w:cs="Arial"/>
          <w:sz w:val="22"/>
          <w:szCs w:val="22"/>
        </w:rPr>
        <w:t xml:space="preserve">will consider </w:t>
      </w:r>
      <w:r w:rsidR="00A1608C">
        <w:rPr>
          <w:rFonts w:ascii="Arial" w:hAnsi="Arial" w:cs="Arial"/>
          <w:sz w:val="22"/>
          <w:szCs w:val="22"/>
        </w:rPr>
        <w:t xml:space="preserve">developer partnerships that provide </w:t>
      </w:r>
      <w:r>
        <w:rPr>
          <w:rFonts w:ascii="Arial" w:hAnsi="Arial" w:cs="Arial"/>
          <w:sz w:val="22"/>
          <w:szCs w:val="22"/>
        </w:rPr>
        <w:t xml:space="preserve">affordable rental housing </w:t>
      </w:r>
      <w:r w:rsidR="00194B6B">
        <w:rPr>
          <w:rFonts w:ascii="Arial" w:hAnsi="Arial" w:cs="Arial"/>
          <w:sz w:val="22"/>
          <w:szCs w:val="22"/>
        </w:rPr>
        <w:t xml:space="preserve">on privately owned land, </w:t>
      </w:r>
      <w:r>
        <w:rPr>
          <w:rFonts w:ascii="Arial" w:hAnsi="Arial" w:cs="Arial"/>
          <w:sz w:val="22"/>
          <w:szCs w:val="22"/>
        </w:rPr>
        <w:t xml:space="preserve">where the developer retains ownership of the </w:t>
      </w:r>
      <w:r w:rsidR="00194B6B">
        <w:rPr>
          <w:rFonts w:ascii="Arial" w:hAnsi="Arial" w:cs="Arial"/>
          <w:sz w:val="22"/>
          <w:szCs w:val="22"/>
        </w:rPr>
        <w:t>affordable housing stock,</w:t>
      </w:r>
      <w:r>
        <w:rPr>
          <w:rFonts w:ascii="Arial" w:hAnsi="Arial" w:cs="Arial"/>
          <w:sz w:val="22"/>
          <w:szCs w:val="22"/>
        </w:rPr>
        <w:t xml:space="preserve"> if all of the following occurs:</w:t>
      </w:r>
    </w:p>
    <w:p w:rsidR="003645C1" w:rsidRPr="003645C1" w:rsidRDefault="003645C1" w:rsidP="00D16324">
      <w:pPr>
        <w:pStyle w:val="ListParagraph"/>
        <w:numPr>
          <w:ilvl w:val="0"/>
          <w:numId w:val="25"/>
        </w:numPr>
        <w:ind w:left="993" w:hanging="284"/>
        <w:jc w:val="both"/>
        <w:rPr>
          <w:rFonts w:ascii="Arial" w:hAnsi="Arial" w:cs="Arial"/>
          <w:sz w:val="22"/>
          <w:szCs w:val="22"/>
        </w:rPr>
      </w:pPr>
      <w:r w:rsidRPr="00D86B5F">
        <w:rPr>
          <w:rFonts w:ascii="Arial" w:hAnsi="Arial" w:cs="Arial"/>
          <w:sz w:val="22"/>
          <w:szCs w:val="22"/>
        </w:rPr>
        <w:t xml:space="preserve">10% or </w:t>
      </w:r>
      <w:r w:rsidR="00682165" w:rsidRPr="00D86B5F">
        <w:rPr>
          <w:rFonts w:ascii="Arial" w:hAnsi="Arial" w:cs="Arial"/>
          <w:sz w:val="22"/>
          <w:szCs w:val="22"/>
        </w:rPr>
        <w:t xml:space="preserve">a </w:t>
      </w:r>
      <w:r w:rsidRPr="00D86B5F">
        <w:rPr>
          <w:rFonts w:ascii="Arial" w:hAnsi="Arial" w:cs="Arial"/>
          <w:sz w:val="22"/>
          <w:szCs w:val="22"/>
        </w:rPr>
        <w:t>greater proportion</w:t>
      </w:r>
      <w:r>
        <w:rPr>
          <w:rFonts w:ascii="Arial" w:hAnsi="Arial" w:cs="Arial"/>
          <w:sz w:val="22"/>
          <w:szCs w:val="22"/>
        </w:rPr>
        <w:t xml:space="preserve"> of dwelling yield on a private development site is allocated to affordable rental housing</w:t>
      </w:r>
    </w:p>
    <w:p w:rsidR="00F36B0A" w:rsidRDefault="00F36B0A" w:rsidP="00D16324">
      <w:pPr>
        <w:pStyle w:val="ListParagraph"/>
        <w:numPr>
          <w:ilvl w:val="0"/>
          <w:numId w:val="25"/>
        </w:numPr>
        <w:ind w:left="993" w:hanging="284"/>
        <w:jc w:val="both"/>
        <w:rPr>
          <w:rFonts w:ascii="Arial" w:hAnsi="Arial" w:cs="Arial"/>
          <w:sz w:val="22"/>
          <w:szCs w:val="22"/>
        </w:rPr>
      </w:pPr>
      <w:r>
        <w:rPr>
          <w:rFonts w:ascii="Arial" w:hAnsi="Arial" w:cs="Arial"/>
          <w:sz w:val="22"/>
          <w:szCs w:val="22"/>
        </w:rPr>
        <w:t>T</w:t>
      </w:r>
      <w:r w:rsidR="003645C1">
        <w:rPr>
          <w:rFonts w:ascii="Arial" w:hAnsi="Arial" w:cs="Arial"/>
          <w:sz w:val="22"/>
          <w:szCs w:val="22"/>
        </w:rPr>
        <w:t>he housing is dedicate</w:t>
      </w:r>
      <w:r w:rsidR="009D3E36">
        <w:rPr>
          <w:rFonts w:ascii="Arial" w:hAnsi="Arial" w:cs="Arial"/>
          <w:sz w:val="22"/>
          <w:szCs w:val="22"/>
        </w:rPr>
        <w:t>d</w:t>
      </w:r>
      <w:r w:rsidR="00682165">
        <w:rPr>
          <w:rFonts w:ascii="Arial" w:hAnsi="Arial" w:cs="Arial"/>
          <w:sz w:val="22"/>
          <w:szCs w:val="22"/>
        </w:rPr>
        <w:t xml:space="preserve"> </w:t>
      </w:r>
      <w:r>
        <w:rPr>
          <w:rFonts w:ascii="Arial" w:hAnsi="Arial" w:cs="Arial"/>
          <w:sz w:val="22"/>
          <w:szCs w:val="22"/>
        </w:rPr>
        <w:t xml:space="preserve">as affordable </w:t>
      </w:r>
      <w:r w:rsidR="00194B6B">
        <w:rPr>
          <w:rFonts w:ascii="Arial" w:hAnsi="Arial" w:cs="Arial"/>
          <w:sz w:val="22"/>
          <w:szCs w:val="22"/>
        </w:rPr>
        <w:t xml:space="preserve">rental </w:t>
      </w:r>
      <w:r>
        <w:rPr>
          <w:rFonts w:ascii="Arial" w:hAnsi="Arial" w:cs="Arial"/>
          <w:sz w:val="22"/>
          <w:szCs w:val="22"/>
        </w:rPr>
        <w:t>housing in perpetuity</w:t>
      </w:r>
    </w:p>
    <w:p w:rsidR="003645C1" w:rsidRDefault="003645C1" w:rsidP="00D16324">
      <w:pPr>
        <w:pStyle w:val="ListParagraph"/>
        <w:numPr>
          <w:ilvl w:val="0"/>
          <w:numId w:val="25"/>
        </w:numPr>
        <w:ind w:left="993" w:hanging="284"/>
        <w:jc w:val="both"/>
        <w:rPr>
          <w:rFonts w:ascii="Arial" w:hAnsi="Arial" w:cs="Arial"/>
          <w:sz w:val="22"/>
          <w:szCs w:val="22"/>
        </w:rPr>
      </w:pPr>
      <w:r>
        <w:rPr>
          <w:rFonts w:ascii="Arial" w:hAnsi="Arial" w:cs="Arial"/>
          <w:sz w:val="22"/>
          <w:szCs w:val="22"/>
        </w:rPr>
        <w:t>The housing dedicated as affordable rental housing reflects the same dwelling mix percentages for the site overall</w:t>
      </w:r>
      <w:r w:rsidR="00682165">
        <w:rPr>
          <w:rFonts w:ascii="Arial" w:hAnsi="Arial" w:cs="Arial"/>
          <w:sz w:val="22"/>
          <w:szCs w:val="22"/>
        </w:rPr>
        <w:t xml:space="preserve"> (i.e. a proportionate mix of 1, 2 and 3 bedroom dwellings)</w:t>
      </w:r>
    </w:p>
    <w:p w:rsidR="003645C1" w:rsidRPr="003645C1" w:rsidRDefault="003645C1" w:rsidP="00D16324">
      <w:pPr>
        <w:pStyle w:val="ListParagraph"/>
        <w:numPr>
          <w:ilvl w:val="0"/>
          <w:numId w:val="25"/>
        </w:numPr>
        <w:ind w:left="993" w:hanging="284"/>
        <w:jc w:val="both"/>
        <w:rPr>
          <w:rFonts w:ascii="Arial" w:hAnsi="Arial" w:cs="Arial"/>
          <w:sz w:val="22"/>
          <w:szCs w:val="22"/>
        </w:rPr>
      </w:pPr>
      <w:r>
        <w:rPr>
          <w:rFonts w:ascii="Arial" w:hAnsi="Arial" w:cs="Arial"/>
          <w:sz w:val="22"/>
          <w:szCs w:val="22"/>
        </w:rPr>
        <w:t xml:space="preserve">The housing is </w:t>
      </w:r>
      <w:r w:rsidR="00591E84">
        <w:rPr>
          <w:rFonts w:ascii="Arial" w:hAnsi="Arial" w:cs="Arial"/>
          <w:sz w:val="22"/>
          <w:szCs w:val="22"/>
        </w:rPr>
        <w:t xml:space="preserve">made </w:t>
      </w:r>
      <w:r>
        <w:rPr>
          <w:rFonts w:ascii="Arial" w:hAnsi="Arial" w:cs="Arial"/>
          <w:sz w:val="22"/>
          <w:szCs w:val="22"/>
        </w:rPr>
        <w:t xml:space="preserve">available to low to moderate income earning households as </w:t>
      </w:r>
      <w:r w:rsidR="00591E84">
        <w:rPr>
          <w:rFonts w:ascii="Arial" w:hAnsi="Arial" w:cs="Arial"/>
          <w:sz w:val="22"/>
          <w:szCs w:val="22"/>
        </w:rPr>
        <w:t>specified in Section 2.1 of this Policy</w:t>
      </w:r>
    </w:p>
    <w:p w:rsidR="00F36B0A" w:rsidRDefault="00F36B0A" w:rsidP="00D16324">
      <w:pPr>
        <w:pStyle w:val="ListParagraph"/>
        <w:numPr>
          <w:ilvl w:val="0"/>
          <w:numId w:val="25"/>
        </w:numPr>
        <w:ind w:left="993" w:hanging="284"/>
        <w:jc w:val="both"/>
        <w:rPr>
          <w:rFonts w:ascii="Arial" w:hAnsi="Arial" w:cs="Arial"/>
          <w:sz w:val="22"/>
          <w:szCs w:val="22"/>
        </w:rPr>
      </w:pPr>
      <w:r>
        <w:rPr>
          <w:rFonts w:ascii="Arial" w:hAnsi="Arial" w:cs="Arial"/>
          <w:sz w:val="22"/>
          <w:szCs w:val="22"/>
        </w:rPr>
        <w:t>Th</w:t>
      </w:r>
      <w:r w:rsidR="00194B6B">
        <w:rPr>
          <w:rFonts w:ascii="Arial" w:hAnsi="Arial" w:cs="Arial"/>
          <w:sz w:val="22"/>
          <w:szCs w:val="22"/>
        </w:rPr>
        <w:t>e rental rate set for</w:t>
      </w:r>
      <w:r>
        <w:rPr>
          <w:rFonts w:ascii="Arial" w:hAnsi="Arial" w:cs="Arial"/>
          <w:sz w:val="22"/>
          <w:szCs w:val="22"/>
        </w:rPr>
        <w:t xml:space="preserve"> the affordable housing is consistent with Council’</w:t>
      </w:r>
      <w:r w:rsidR="00194B6B">
        <w:rPr>
          <w:rFonts w:ascii="Arial" w:hAnsi="Arial" w:cs="Arial"/>
          <w:sz w:val="22"/>
          <w:szCs w:val="22"/>
        </w:rPr>
        <w:t xml:space="preserve">s affordable rent </w:t>
      </w:r>
      <w:r>
        <w:rPr>
          <w:rFonts w:ascii="Arial" w:hAnsi="Arial" w:cs="Arial"/>
          <w:sz w:val="22"/>
          <w:szCs w:val="22"/>
        </w:rPr>
        <w:t>setting rules</w:t>
      </w:r>
    </w:p>
    <w:p w:rsidR="00476D69" w:rsidRPr="00F36B0A" w:rsidRDefault="00F36B0A" w:rsidP="00D16324">
      <w:pPr>
        <w:pStyle w:val="ListParagraph"/>
        <w:numPr>
          <w:ilvl w:val="0"/>
          <w:numId w:val="25"/>
        </w:numPr>
        <w:ind w:left="993" w:hanging="284"/>
        <w:jc w:val="both"/>
        <w:rPr>
          <w:rFonts w:ascii="Arial" w:hAnsi="Arial" w:cs="Arial"/>
          <w:sz w:val="22"/>
          <w:szCs w:val="22"/>
        </w:rPr>
      </w:pPr>
      <w:r>
        <w:rPr>
          <w:rFonts w:ascii="Arial" w:hAnsi="Arial" w:cs="Arial"/>
          <w:sz w:val="22"/>
          <w:szCs w:val="22"/>
        </w:rPr>
        <w:t xml:space="preserve">The </w:t>
      </w:r>
      <w:r w:rsidR="00194B6B">
        <w:rPr>
          <w:rFonts w:ascii="Arial" w:hAnsi="Arial" w:cs="Arial"/>
          <w:sz w:val="22"/>
          <w:szCs w:val="22"/>
        </w:rPr>
        <w:t xml:space="preserve">affordable rental </w:t>
      </w:r>
      <w:r>
        <w:rPr>
          <w:rFonts w:ascii="Arial" w:hAnsi="Arial" w:cs="Arial"/>
          <w:sz w:val="22"/>
          <w:szCs w:val="22"/>
        </w:rPr>
        <w:t>housing is managed by a registered Community Housing Provider</w:t>
      </w:r>
    </w:p>
    <w:p w:rsidR="00A16ECA" w:rsidRDefault="00A16ECA" w:rsidP="00D16324">
      <w:pPr>
        <w:jc w:val="both"/>
        <w:rPr>
          <w:rFonts w:ascii="Arial" w:hAnsi="Arial" w:cs="Arial"/>
          <w:sz w:val="22"/>
          <w:szCs w:val="22"/>
        </w:rPr>
      </w:pPr>
    </w:p>
    <w:p w:rsidR="00976D48" w:rsidRDefault="00976D48" w:rsidP="00572BE0">
      <w:pPr>
        <w:rPr>
          <w:rFonts w:ascii="Arial" w:hAnsi="Arial" w:cs="Arial"/>
          <w:sz w:val="22"/>
          <w:szCs w:val="22"/>
        </w:rPr>
      </w:pPr>
    </w:p>
    <w:p w:rsidR="00727493" w:rsidRDefault="00727493" w:rsidP="00572BE0">
      <w:pPr>
        <w:rPr>
          <w:rFonts w:ascii="Arial" w:hAnsi="Arial" w:cs="Arial"/>
          <w:sz w:val="22"/>
          <w:szCs w:val="22"/>
        </w:rPr>
      </w:pPr>
    </w:p>
    <w:p w:rsidR="00727493" w:rsidRDefault="00727493" w:rsidP="00572BE0">
      <w:pPr>
        <w:rPr>
          <w:rFonts w:ascii="Arial" w:hAnsi="Arial" w:cs="Arial"/>
          <w:sz w:val="22"/>
          <w:szCs w:val="22"/>
        </w:rPr>
      </w:pPr>
    </w:p>
    <w:p w:rsidR="00727493" w:rsidRDefault="00727493" w:rsidP="00572BE0">
      <w:pPr>
        <w:rPr>
          <w:rFonts w:ascii="Arial" w:hAnsi="Arial" w:cs="Arial"/>
          <w:sz w:val="22"/>
          <w:szCs w:val="22"/>
        </w:rPr>
      </w:pPr>
    </w:p>
    <w:p w:rsidR="00727493" w:rsidRDefault="00727493" w:rsidP="00572BE0">
      <w:pPr>
        <w:rPr>
          <w:rFonts w:ascii="Arial" w:hAnsi="Arial" w:cs="Arial"/>
          <w:sz w:val="22"/>
          <w:szCs w:val="22"/>
        </w:rPr>
      </w:pPr>
    </w:p>
    <w:p w:rsidR="00727493" w:rsidRDefault="00727493" w:rsidP="00572BE0">
      <w:pPr>
        <w:rPr>
          <w:rFonts w:ascii="Arial" w:hAnsi="Arial" w:cs="Arial"/>
          <w:sz w:val="22"/>
          <w:szCs w:val="22"/>
        </w:rPr>
      </w:pPr>
    </w:p>
    <w:p w:rsidR="00727493" w:rsidRDefault="00727493" w:rsidP="00572BE0">
      <w:pPr>
        <w:rPr>
          <w:rFonts w:ascii="Arial" w:hAnsi="Arial" w:cs="Arial"/>
          <w:sz w:val="22"/>
          <w:szCs w:val="22"/>
        </w:rPr>
      </w:pPr>
    </w:p>
    <w:p w:rsidR="00727493" w:rsidRDefault="00727493" w:rsidP="00572BE0">
      <w:pPr>
        <w:rPr>
          <w:rFonts w:ascii="Arial" w:hAnsi="Arial" w:cs="Arial"/>
          <w:sz w:val="22"/>
          <w:szCs w:val="22"/>
        </w:rPr>
      </w:pPr>
    </w:p>
    <w:p w:rsidR="00727493" w:rsidRDefault="00727493" w:rsidP="00572BE0">
      <w:pPr>
        <w:rPr>
          <w:rFonts w:ascii="Arial" w:hAnsi="Arial" w:cs="Arial"/>
          <w:sz w:val="22"/>
          <w:szCs w:val="22"/>
        </w:rPr>
      </w:pPr>
    </w:p>
    <w:p w:rsidR="00317AE2" w:rsidRDefault="00317AE2" w:rsidP="00572BE0">
      <w:pPr>
        <w:rPr>
          <w:rFonts w:ascii="Arial" w:hAnsi="Arial" w:cs="Arial"/>
          <w:sz w:val="22"/>
          <w:szCs w:val="22"/>
        </w:rPr>
      </w:pPr>
    </w:p>
    <w:p w:rsidR="00317AE2" w:rsidRDefault="00317AE2" w:rsidP="00572BE0">
      <w:pPr>
        <w:rPr>
          <w:rFonts w:ascii="Arial" w:hAnsi="Arial" w:cs="Arial"/>
          <w:sz w:val="22"/>
          <w:szCs w:val="22"/>
        </w:rPr>
      </w:pPr>
    </w:p>
    <w:p w:rsidR="00A05B19" w:rsidRDefault="00A05B19" w:rsidP="00572BE0">
      <w:pPr>
        <w:rPr>
          <w:rFonts w:ascii="Arial" w:hAnsi="Arial" w:cs="Arial"/>
          <w:sz w:val="22"/>
          <w:szCs w:val="22"/>
        </w:rPr>
      </w:pPr>
    </w:p>
    <w:p w:rsidR="00A05B19" w:rsidRDefault="00A05B19" w:rsidP="00572BE0">
      <w:pPr>
        <w:rPr>
          <w:rFonts w:ascii="Arial" w:hAnsi="Arial" w:cs="Arial"/>
          <w:sz w:val="22"/>
          <w:szCs w:val="22"/>
        </w:rPr>
      </w:pPr>
    </w:p>
    <w:p w:rsidR="00A05B19" w:rsidRDefault="00A05B19" w:rsidP="00572BE0">
      <w:pPr>
        <w:rPr>
          <w:rFonts w:ascii="Arial" w:hAnsi="Arial" w:cs="Arial"/>
          <w:sz w:val="22"/>
          <w:szCs w:val="22"/>
        </w:rPr>
      </w:pPr>
    </w:p>
    <w:p w:rsidR="00A05B19" w:rsidRDefault="00A05B19" w:rsidP="00572BE0">
      <w:pPr>
        <w:rPr>
          <w:rFonts w:ascii="Arial" w:hAnsi="Arial" w:cs="Arial"/>
          <w:sz w:val="22"/>
          <w:szCs w:val="22"/>
        </w:rPr>
      </w:pPr>
    </w:p>
    <w:p w:rsidR="00D16324" w:rsidRDefault="00D16324" w:rsidP="00572BE0">
      <w:pPr>
        <w:rPr>
          <w:rFonts w:ascii="Arial" w:hAnsi="Arial" w:cs="Arial"/>
          <w:sz w:val="22"/>
          <w:szCs w:val="22"/>
        </w:rPr>
      </w:pPr>
    </w:p>
    <w:p w:rsidR="006658D7" w:rsidRDefault="006658D7" w:rsidP="00572BE0">
      <w:pPr>
        <w:rPr>
          <w:rFonts w:ascii="Arial" w:hAnsi="Arial" w:cs="Arial"/>
          <w:sz w:val="22"/>
          <w:szCs w:val="22"/>
        </w:rPr>
      </w:pPr>
    </w:p>
    <w:p w:rsidR="006658D7" w:rsidRDefault="006658D7" w:rsidP="00572BE0">
      <w:pPr>
        <w:rPr>
          <w:rFonts w:ascii="Arial" w:hAnsi="Arial" w:cs="Arial"/>
          <w:sz w:val="22"/>
          <w:szCs w:val="22"/>
        </w:rPr>
      </w:pPr>
    </w:p>
    <w:p w:rsidR="006658D7" w:rsidRDefault="006658D7" w:rsidP="00572BE0">
      <w:pPr>
        <w:rPr>
          <w:rFonts w:ascii="Arial" w:hAnsi="Arial" w:cs="Arial"/>
          <w:sz w:val="22"/>
          <w:szCs w:val="22"/>
        </w:rPr>
      </w:pPr>
    </w:p>
    <w:p w:rsidR="006658D7" w:rsidRDefault="006658D7" w:rsidP="00572BE0">
      <w:pPr>
        <w:rPr>
          <w:rFonts w:ascii="Arial" w:hAnsi="Arial" w:cs="Arial"/>
          <w:sz w:val="22"/>
          <w:szCs w:val="22"/>
        </w:rPr>
      </w:pPr>
    </w:p>
    <w:p w:rsidR="006658D7" w:rsidRDefault="006658D7" w:rsidP="00572BE0">
      <w:pPr>
        <w:rPr>
          <w:rFonts w:ascii="Arial" w:hAnsi="Arial" w:cs="Arial"/>
          <w:sz w:val="22"/>
          <w:szCs w:val="22"/>
        </w:rPr>
      </w:pPr>
    </w:p>
    <w:p w:rsidR="006658D7" w:rsidRDefault="006658D7" w:rsidP="00572BE0">
      <w:pPr>
        <w:rPr>
          <w:rFonts w:ascii="Arial" w:hAnsi="Arial" w:cs="Arial"/>
          <w:sz w:val="22"/>
          <w:szCs w:val="22"/>
        </w:rPr>
      </w:pPr>
    </w:p>
    <w:p w:rsidR="006658D7" w:rsidRDefault="006658D7" w:rsidP="00572BE0">
      <w:pPr>
        <w:rPr>
          <w:rFonts w:ascii="Arial" w:hAnsi="Arial" w:cs="Arial"/>
          <w:sz w:val="22"/>
          <w:szCs w:val="22"/>
        </w:rPr>
      </w:pPr>
    </w:p>
    <w:p w:rsidR="006658D7" w:rsidRDefault="006658D7" w:rsidP="00572BE0">
      <w:pPr>
        <w:rPr>
          <w:rFonts w:ascii="Arial" w:hAnsi="Arial" w:cs="Arial"/>
          <w:sz w:val="22"/>
          <w:szCs w:val="22"/>
        </w:rPr>
      </w:pPr>
    </w:p>
    <w:p w:rsidR="006658D7" w:rsidRDefault="006658D7" w:rsidP="00572BE0">
      <w:pPr>
        <w:rPr>
          <w:rFonts w:ascii="Arial" w:hAnsi="Arial" w:cs="Arial"/>
          <w:sz w:val="22"/>
          <w:szCs w:val="22"/>
        </w:rPr>
      </w:pPr>
    </w:p>
    <w:p w:rsidR="006658D7" w:rsidRDefault="006658D7" w:rsidP="00572BE0">
      <w:pPr>
        <w:rPr>
          <w:rFonts w:ascii="Arial" w:hAnsi="Arial" w:cs="Arial"/>
          <w:sz w:val="22"/>
          <w:szCs w:val="22"/>
        </w:rPr>
      </w:pPr>
    </w:p>
    <w:p w:rsidR="006658D7" w:rsidRDefault="006658D7" w:rsidP="00572BE0">
      <w:pPr>
        <w:rPr>
          <w:rFonts w:ascii="Arial" w:hAnsi="Arial" w:cs="Arial"/>
          <w:sz w:val="22"/>
          <w:szCs w:val="22"/>
        </w:rPr>
      </w:pPr>
    </w:p>
    <w:p w:rsidR="006658D7" w:rsidRDefault="006658D7" w:rsidP="00572BE0">
      <w:pPr>
        <w:rPr>
          <w:rFonts w:ascii="Arial" w:hAnsi="Arial" w:cs="Arial"/>
          <w:sz w:val="22"/>
          <w:szCs w:val="22"/>
        </w:rPr>
      </w:pPr>
    </w:p>
    <w:p w:rsidR="006658D7" w:rsidRDefault="006658D7" w:rsidP="00572BE0">
      <w:pPr>
        <w:rPr>
          <w:rFonts w:ascii="Arial" w:hAnsi="Arial" w:cs="Arial"/>
          <w:sz w:val="22"/>
          <w:szCs w:val="22"/>
        </w:rPr>
      </w:pPr>
    </w:p>
    <w:p w:rsidR="002F5BF8" w:rsidRDefault="008E10E6" w:rsidP="00572BE0">
      <w:pPr>
        <w:rPr>
          <w:rFonts w:ascii="Arial" w:hAnsi="Arial" w:cs="Arial"/>
          <w:b/>
          <w:sz w:val="22"/>
          <w:szCs w:val="22"/>
        </w:rPr>
      </w:pPr>
      <w:r>
        <w:rPr>
          <w:rFonts w:ascii="Arial" w:hAnsi="Arial" w:cs="Arial"/>
          <w:b/>
          <w:sz w:val="22"/>
          <w:szCs w:val="22"/>
        </w:rPr>
        <w:lastRenderedPageBreak/>
        <w:t xml:space="preserve">4.2.3 </w:t>
      </w:r>
      <w:r w:rsidR="00B167BC">
        <w:rPr>
          <w:rFonts w:ascii="Arial" w:hAnsi="Arial" w:cs="Arial"/>
          <w:b/>
          <w:sz w:val="22"/>
          <w:szCs w:val="22"/>
        </w:rPr>
        <w:t>Enabling</w:t>
      </w:r>
    </w:p>
    <w:p w:rsidR="00B167BC" w:rsidRDefault="00B167BC" w:rsidP="00572BE0">
      <w:pPr>
        <w:rPr>
          <w:rFonts w:ascii="Arial" w:hAnsi="Arial" w:cs="Arial"/>
          <w:b/>
          <w:sz w:val="22"/>
          <w:szCs w:val="22"/>
        </w:rPr>
      </w:pPr>
      <w:r>
        <w:rPr>
          <w:rFonts w:ascii="Arial" w:hAnsi="Arial" w:cs="Arial"/>
          <w:noProof/>
          <w:color w:val="FF0000"/>
          <w:sz w:val="22"/>
          <w:szCs w:val="22"/>
          <w:lang w:val="en-AU" w:eastAsia="en-AU"/>
        </w:rPr>
        <mc:AlternateContent>
          <mc:Choice Requires="wps">
            <w:drawing>
              <wp:anchor distT="0" distB="0" distL="114300" distR="114300" simplePos="0" relativeHeight="251702272" behindDoc="0" locked="0" layoutInCell="1" allowOverlap="1" wp14:anchorId="2C6F69F7" wp14:editId="49410006">
                <wp:simplePos x="0" y="0"/>
                <wp:positionH relativeFrom="margin">
                  <wp:align>center</wp:align>
                </wp:positionH>
                <wp:positionV relativeFrom="paragraph">
                  <wp:posOffset>164465</wp:posOffset>
                </wp:positionV>
                <wp:extent cx="1693628" cy="970059"/>
                <wp:effectExtent l="0" t="0" r="20955" b="20955"/>
                <wp:wrapNone/>
                <wp:docPr id="28" name="Rounded Rectangle 28"/>
                <wp:cNvGraphicFramePr/>
                <a:graphic xmlns:a="http://schemas.openxmlformats.org/drawingml/2006/main">
                  <a:graphicData uri="http://schemas.microsoft.com/office/word/2010/wordprocessingShape">
                    <wps:wsp>
                      <wps:cNvSpPr/>
                      <wps:spPr>
                        <a:xfrm>
                          <a:off x="0" y="0"/>
                          <a:ext cx="1693628" cy="970059"/>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53717" w:rsidRPr="00C64C6D" w:rsidRDefault="00B53717" w:rsidP="00B167BC">
                            <w:pPr>
                              <w:rPr>
                                <w:rFonts w:ascii="Arial" w:hAnsi="Arial" w:cs="Arial"/>
                                <w:sz w:val="20"/>
                                <w:lang w:val="en-AU"/>
                              </w:rPr>
                            </w:pPr>
                            <w:r>
                              <w:rPr>
                                <w:rFonts w:ascii="Arial" w:hAnsi="Arial" w:cs="Arial"/>
                                <w:b/>
                                <w:bCs/>
                                <w:sz w:val="20"/>
                                <w:lang w:val="en-AU"/>
                              </w:rPr>
                              <w:t xml:space="preserve">8. </w:t>
                            </w:r>
                            <w:r w:rsidRPr="00C64C6D">
                              <w:rPr>
                                <w:rFonts w:ascii="Arial" w:hAnsi="Arial" w:cs="Arial"/>
                                <w:b/>
                                <w:bCs/>
                                <w:sz w:val="20"/>
                                <w:lang w:val="en-AU"/>
                              </w:rPr>
                              <w:t>Allow local government to transfer affordable housing ownership to CHPs</w:t>
                            </w:r>
                          </w:p>
                          <w:p w:rsidR="00B53717" w:rsidRDefault="00B53717" w:rsidP="00B167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6F69F7" id="Rounded Rectangle 28" o:spid="_x0000_s1033" style="position:absolute;margin-left:0;margin-top:12.95pt;width:133.35pt;height:76.4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" fillcolor="#92cddc [1944]" strokecolor="#243f60 [1604]" strokeweight="2pt">
                <v:textbox>
                  <w:txbxContent>
                    <w:p w:rsidR="00B53717" w:rsidRPr="00C64C6D" w:rsidRDefault="00B53717" w:rsidP="00B167BC">
                      <w:pPr>
                        <w:rPr>
                          <w:rFonts w:ascii="Arial" w:hAnsi="Arial" w:cs="Arial"/>
                          <w:sz w:val="20"/>
                          <w:lang w:val="en-AU"/>
                        </w:rPr>
                      </w:pPr>
                      <w:r>
                        <w:rPr>
                          <w:rFonts w:ascii="Arial" w:hAnsi="Arial" w:cs="Arial"/>
                          <w:b/>
                          <w:bCs/>
                          <w:sz w:val="20"/>
                          <w:lang w:val="en-AU"/>
                        </w:rPr>
                        <w:t xml:space="preserve">8. </w:t>
                      </w:r>
                      <w:r w:rsidRPr="00C64C6D">
                        <w:rPr>
                          <w:rFonts w:ascii="Arial" w:hAnsi="Arial" w:cs="Arial"/>
                          <w:b/>
                          <w:bCs/>
                          <w:sz w:val="20"/>
                          <w:lang w:val="en-AU"/>
                        </w:rPr>
                        <w:t>Allow local government to transfer affordable housing ownership to CHPs</w:t>
                      </w:r>
                    </w:p>
                    <w:p w:rsidR="00B53717" w:rsidRDefault="00B53717" w:rsidP="00B167BC">
                      <w:pPr>
                        <w:jc w:val="center"/>
                      </w:pPr>
                    </w:p>
                  </w:txbxContent>
                </v:textbox>
                <w10:wrap anchorx="margin"/>
              </v:roundrect>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3207"/>
        <w:gridCol w:w="2909"/>
      </w:tblGrid>
      <w:tr w:rsidR="00B167BC" w:rsidTr="008939A8">
        <w:trPr>
          <w:jc w:val="center"/>
        </w:trPr>
        <w:tc>
          <w:tcPr>
            <w:tcW w:w="3206" w:type="dxa"/>
          </w:tcPr>
          <w:p w:rsidR="00B167BC" w:rsidRDefault="00B167BC" w:rsidP="008939A8">
            <w:pPr>
              <w:rPr>
                <w:rFonts w:ascii="Arial" w:hAnsi="Arial" w:cs="Arial"/>
                <w:color w:val="FF0000"/>
                <w:sz w:val="22"/>
                <w:szCs w:val="22"/>
              </w:rPr>
            </w:pPr>
          </w:p>
          <w:p w:rsidR="00B167BC" w:rsidRDefault="00B167BC" w:rsidP="008939A8">
            <w:pPr>
              <w:rPr>
                <w:rFonts w:ascii="Arial" w:hAnsi="Arial" w:cs="Arial"/>
                <w:color w:val="FF0000"/>
                <w:sz w:val="22"/>
                <w:szCs w:val="22"/>
              </w:rPr>
            </w:pPr>
          </w:p>
          <w:p w:rsidR="00B167BC" w:rsidRDefault="00B167BC" w:rsidP="008939A8">
            <w:pPr>
              <w:rPr>
                <w:rFonts w:ascii="Arial" w:hAnsi="Arial" w:cs="Arial"/>
                <w:color w:val="FF0000"/>
                <w:sz w:val="22"/>
                <w:szCs w:val="22"/>
              </w:rPr>
            </w:pPr>
          </w:p>
          <w:p w:rsidR="00B167BC" w:rsidRDefault="00B167BC" w:rsidP="008939A8">
            <w:pPr>
              <w:rPr>
                <w:rFonts w:ascii="Arial" w:hAnsi="Arial" w:cs="Arial"/>
                <w:color w:val="FF0000"/>
                <w:sz w:val="22"/>
                <w:szCs w:val="22"/>
              </w:rPr>
            </w:pPr>
          </w:p>
          <w:p w:rsidR="00B167BC" w:rsidRDefault="00B167BC" w:rsidP="008939A8">
            <w:pPr>
              <w:rPr>
                <w:rFonts w:ascii="Arial" w:hAnsi="Arial" w:cs="Arial"/>
                <w:color w:val="FF0000"/>
                <w:sz w:val="22"/>
                <w:szCs w:val="22"/>
              </w:rPr>
            </w:pPr>
          </w:p>
          <w:p w:rsidR="00B167BC" w:rsidRDefault="00B167BC" w:rsidP="008939A8">
            <w:pPr>
              <w:rPr>
                <w:rFonts w:ascii="Arial" w:hAnsi="Arial" w:cs="Arial"/>
                <w:color w:val="FF0000"/>
                <w:sz w:val="22"/>
                <w:szCs w:val="22"/>
              </w:rPr>
            </w:pPr>
          </w:p>
          <w:p w:rsidR="0078502F" w:rsidRDefault="0078502F" w:rsidP="008939A8">
            <w:pPr>
              <w:rPr>
                <w:rFonts w:ascii="Arial" w:hAnsi="Arial" w:cs="Arial"/>
                <w:color w:val="FF0000"/>
                <w:sz w:val="22"/>
                <w:szCs w:val="22"/>
              </w:rPr>
            </w:pPr>
          </w:p>
        </w:tc>
        <w:tc>
          <w:tcPr>
            <w:tcW w:w="3207" w:type="dxa"/>
          </w:tcPr>
          <w:p w:rsidR="00B167BC" w:rsidRDefault="00B167BC" w:rsidP="008939A8">
            <w:pPr>
              <w:rPr>
                <w:rFonts w:ascii="Arial" w:hAnsi="Arial" w:cs="Arial"/>
                <w:color w:val="FF0000"/>
                <w:sz w:val="22"/>
                <w:szCs w:val="22"/>
              </w:rPr>
            </w:pPr>
          </w:p>
          <w:p w:rsidR="0078502F" w:rsidRDefault="0078502F" w:rsidP="008939A8">
            <w:pPr>
              <w:rPr>
                <w:rFonts w:ascii="Arial" w:hAnsi="Arial" w:cs="Arial"/>
                <w:color w:val="FF0000"/>
                <w:sz w:val="22"/>
                <w:szCs w:val="22"/>
              </w:rPr>
            </w:pPr>
          </w:p>
          <w:p w:rsidR="0078502F" w:rsidRDefault="0078502F" w:rsidP="008939A8">
            <w:pPr>
              <w:rPr>
                <w:rFonts w:ascii="Arial" w:hAnsi="Arial" w:cs="Arial"/>
                <w:color w:val="FF0000"/>
                <w:sz w:val="22"/>
                <w:szCs w:val="22"/>
              </w:rPr>
            </w:pPr>
          </w:p>
        </w:tc>
        <w:tc>
          <w:tcPr>
            <w:tcW w:w="2909" w:type="dxa"/>
          </w:tcPr>
          <w:p w:rsidR="00B167BC" w:rsidRDefault="00B167BC" w:rsidP="008939A8">
            <w:pPr>
              <w:rPr>
                <w:rFonts w:ascii="Arial" w:hAnsi="Arial" w:cs="Arial"/>
                <w:color w:val="FF0000"/>
                <w:sz w:val="22"/>
                <w:szCs w:val="22"/>
              </w:rPr>
            </w:pPr>
          </w:p>
        </w:tc>
      </w:tr>
    </w:tbl>
    <w:p w:rsidR="00B167BC" w:rsidRDefault="00B167BC" w:rsidP="00D16324">
      <w:pPr>
        <w:jc w:val="both"/>
        <w:rPr>
          <w:rFonts w:ascii="Arial" w:hAnsi="Arial" w:cs="Arial"/>
          <w:b/>
          <w:sz w:val="22"/>
          <w:szCs w:val="22"/>
        </w:rPr>
      </w:pPr>
    </w:p>
    <w:p w:rsidR="00A16ECA" w:rsidRPr="00E56882" w:rsidRDefault="008E10E6" w:rsidP="00D16324">
      <w:pPr>
        <w:ind w:left="720"/>
        <w:jc w:val="both"/>
        <w:rPr>
          <w:rFonts w:ascii="Arial" w:hAnsi="Arial" w:cs="Arial"/>
          <w:b/>
          <w:sz w:val="22"/>
          <w:szCs w:val="22"/>
        </w:rPr>
      </w:pPr>
      <w:r>
        <w:rPr>
          <w:rFonts w:ascii="Arial" w:hAnsi="Arial" w:cs="Arial"/>
          <w:b/>
          <w:sz w:val="22"/>
          <w:szCs w:val="22"/>
        </w:rPr>
        <w:t>Action 8.</w:t>
      </w:r>
      <w:r w:rsidR="00A16ECA" w:rsidRPr="00E56882">
        <w:rPr>
          <w:rFonts w:ascii="Arial" w:hAnsi="Arial" w:cs="Arial"/>
          <w:b/>
          <w:sz w:val="22"/>
          <w:szCs w:val="22"/>
        </w:rPr>
        <w:t xml:space="preserve"> </w:t>
      </w:r>
      <w:r w:rsidR="00A16ECA" w:rsidRPr="00E56882">
        <w:rPr>
          <w:rFonts w:ascii="Arial" w:hAnsi="Arial" w:cs="Arial"/>
          <w:b/>
          <w:bCs/>
          <w:sz w:val="22"/>
          <w:szCs w:val="22"/>
          <w:lang w:val="en-AU"/>
        </w:rPr>
        <w:t>Allow local government to transfer affordable housing ownership to C</w:t>
      </w:r>
      <w:r w:rsidR="00591E84">
        <w:rPr>
          <w:rFonts w:ascii="Arial" w:hAnsi="Arial" w:cs="Arial"/>
          <w:b/>
          <w:bCs/>
          <w:sz w:val="22"/>
          <w:szCs w:val="22"/>
          <w:lang w:val="en-AU"/>
        </w:rPr>
        <w:t xml:space="preserve">ommunity </w:t>
      </w:r>
      <w:r w:rsidR="00A16ECA" w:rsidRPr="00E56882">
        <w:rPr>
          <w:rFonts w:ascii="Arial" w:hAnsi="Arial" w:cs="Arial"/>
          <w:b/>
          <w:bCs/>
          <w:sz w:val="22"/>
          <w:szCs w:val="22"/>
          <w:lang w:val="en-AU"/>
        </w:rPr>
        <w:t>H</w:t>
      </w:r>
      <w:r w:rsidR="00591E84">
        <w:rPr>
          <w:rFonts w:ascii="Arial" w:hAnsi="Arial" w:cs="Arial"/>
          <w:b/>
          <w:bCs/>
          <w:sz w:val="22"/>
          <w:szCs w:val="22"/>
          <w:lang w:val="en-AU"/>
        </w:rPr>
        <w:t xml:space="preserve">ousing </w:t>
      </w:r>
      <w:r w:rsidR="00A16ECA" w:rsidRPr="00E56882">
        <w:rPr>
          <w:rFonts w:ascii="Arial" w:hAnsi="Arial" w:cs="Arial"/>
          <w:b/>
          <w:bCs/>
          <w:sz w:val="22"/>
          <w:szCs w:val="22"/>
          <w:lang w:val="en-AU"/>
        </w:rPr>
        <w:t>P</w:t>
      </w:r>
      <w:r w:rsidR="00591E84">
        <w:rPr>
          <w:rFonts w:ascii="Arial" w:hAnsi="Arial" w:cs="Arial"/>
          <w:b/>
          <w:bCs/>
          <w:sz w:val="22"/>
          <w:szCs w:val="22"/>
          <w:lang w:val="en-AU"/>
        </w:rPr>
        <w:t>rovider</w:t>
      </w:r>
      <w:r w:rsidR="00A16ECA" w:rsidRPr="00E56882">
        <w:rPr>
          <w:rFonts w:ascii="Arial" w:hAnsi="Arial" w:cs="Arial"/>
          <w:b/>
          <w:bCs/>
          <w:sz w:val="22"/>
          <w:szCs w:val="22"/>
          <w:lang w:val="en-AU"/>
        </w:rPr>
        <w:t>s</w:t>
      </w:r>
      <w:r w:rsidR="00A877F7">
        <w:rPr>
          <w:rFonts w:ascii="Arial" w:hAnsi="Arial" w:cs="Arial"/>
          <w:b/>
          <w:bCs/>
          <w:sz w:val="22"/>
          <w:szCs w:val="22"/>
          <w:lang w:val="en-AU"/>
        </w:rPr>
        <w:t xml:space="preserve"> (CHPs)</w:t>
      </w:r>
    </w:p>
    <w:p w:rsidR="001C4DED" w:rsidRDefault="00031A8C" w:rsidP="00D16324">
      <w:pPr>
        <w:ind w:left="720"/>
        <w:jc w:val="both"/>
        <w:rPr>
          <w:rFonts w:ascii="Arial" w:hAnsi="Arial" w:cs="Arial"/>
          <w:sz w:val="22"/>
          <w:szCs w:val="22"/>
        </w:rPr>
      </w:pPr>
      <w:r>
        <w:rPr>
          <w:rFonts w:ascii="Arial" w:hAnsi="Arial" w:cs="Arial"/>
          <w:sz w:val="22"/>
          <w:szCs w:val="22"/>
        </w:rPr>
        <w:t xml:space="preserve">Council does not have the capacity to manage a large volume of affordable rental housing. Council will </w:t>
      </w:r>
      <w:r w:rsidR="00E33701">
        <w:rPr>
          <w:rFonts w:ascii="Arial" w:hAnsi="Arial" w:cs="Arial"/>
          <w:sz w:val="22"/>
          <w:szCs w:val="22"/>
        </w:rPr>
        <w:t xml:space="preserve">identify an appropriate and efficient mechanism to hand over or directly </w:t>
      </w:r>
      <w:r w:rsidR="0022240C">
        <w:rPr>
          <w:rFonts w:ascii="Arial" w:hAnsi="Arial" w:cs="Arial"/>
          <w:sz w:val="22"/>
          <w:szCs w:val="22"/>
        </w:rPr>
        <w:t>dedica</w:t>
      </w:r>
      <w:r>
        <w:rPr>
          <w:rFonts w:ascii="Arial" w:hAnsi="Arial" w:cs="Arial"/>
          <w:sz w:val="22"/>
          <w:szCs w:val="22"/>
        </w:rPr>
        <w:t>te</w:t>
      </w:r>
      <w:r w:rsidR="0022240C">
        <w:rPr>
          <w:rFonts w:ascii="Arial" w:hAnsi="Arial" w:cs="Arial"/>
          <w:sz w:val="22"/>
          <w:szCs w:val="22"/>
        </w:rPr>
        <w:t xml:space="preserve"> </w:t>
      </w:r>
      <w:r w:rsidR="00E33701">
        <w:rPr>
          <w:rFonts w:ascii="Arial" w:hAnsi="Arial" w:cs="Arial"/>
          <w:sz w:val="22"/>
          <w:szCs w:val="22"/>
        </w:rPr>
        <w:t xml:space="preserve">affordable rental dwellings </w:t>
      </w:r>
      <w:r w:rsidR="0022240C">
        <w:rPr>
          <w:rFonts w:ascii="Arial" w:hAnsi="Arial" w:cs="Arial"/>
          <w:sz w:val="22"/>
          <w:szCs w:val="22"/>
        </w:rPr>
        <w:t>achieved</w:t>
      </w:r>
      <w:r w:rsidR="00E33701">
        <w:rPr>
          <w:rFonts w:ascii="Arial" w:hAnsi="Arial" w:cs="Arial"/>
          <w:sz w:val="22"/>
          <w:szCs w:val="22"/>
        </w:rPr>
        <w:t xml:space="preserve"> th</w:t>
      </w:r>
      <w:r w:rsidR="0022240C">
        <w:rPr>
          <w:rFonts w:ascii="Arial" w:hAnsi="Arial" w:cs="Arial"/>
          <w:sz w:val="22"/>
          <w:szCs w:val="22"/>
        </w:rPr>
        <w:t xml:space="preserve">rough the planning system to a </w:t>
      </w:r>
      <w:r w:rsidR="00A877F7">
        <w:rPr>
          <w:rFonts w:ascii="Arial" w:hAnsi="Arial" w:cs="Arial"/>
          <w:sz w:val="22"/>
          <w:szCs w:val="22"/>
        </w:rPr>
        <w:t>CHP. R</w:t>
      </w:r>
      <w:r w:rsidR="0022240C">
        <w:rPr>
          <w:rFonts w:ascii="Arial" w:hAnsi="Arial" w:cs="Arial"/>
          <w:sz w:val="22"/>
          <w:szCs w:val="22"/>
        </w:rPr>
        <w:t>esearch</w:t>
      </w:r>
      <w:r w:rsidR="000F6671">
        <w:rPr>
          <w:rStyle w:val="FootnoteReference"/>
          <w:rFonts w:ascii="Arial" w:hAnsi="Arial" w:cs="Arial"/>
          <w:sz w:val="22"/>
          <w:szCs w:val="22"/>
        </w:rPr>
        <w:footnoteReference w:id="15"/>
      </w:r>
      <w:r w:rsidR="0022240C">
        <w:rPr>
          <w:rFonts w:ascii="Arial" w:hAnsi="Arial" w:cs="Arial"/>
          <w:sz w:val="22"/>
          <w:szCs w:val="22"/>
        </w:rPr>
        <w:t xml:space="preserve"> commissioned by Council indicates that there are operational and economic efficiencies for </w:t>
      </w:r>
      <w:r w:rsidR="00A877F7">
        <w:rPr>
          <w:rFonts w:ascii="Arial" w:hAnsi="Arial" w:cs="Arial"/>
          <w:sz w:val="22"/>
          <w:szCs w:val="22"/>
        </w:rPr>
        <w:t>CHPs</w:t>
      </w:r>
      <w:r w:rsidR="0022240C">
        <w:rPr>
          <w:rFonts w:ascii="Arial" w:hAnsi="Arial" w:cs="Arial"/>
          <w:sz w:val="22"/>
          <w:szCs w:val="22"/>
        </w:rPr>
        <w:t xml:space="preserve"> who own more housing stock. Seeking to transfer </w:t>
      </w:r>
      <w:r w:rsidR="00A877F7">
        <w:rPr>
          <w:rFonts w:ascii="Arial" w:hAnsi="Arial" w:cs="Arial"/>
          <w:sz w:val="22"/>
          <w:szCs w:val="22"/>
        </w:rPr>
        <w:t>ownership of stock to CHPs</w:t>
      </w:r>
      <w:r w:rsidR="0022240C">
        <w:rPr>
          <w:rFonts w:ascii="Arial" w:hAnsi="Arial" w:cs="Arial"/>
          <w:sz w:val="22"/>
          <w:szCs w:val="22"/>
        </w:rPr>
        <w:t xml:space="preserve"> is likely to lead </w:t>
      </w:r>
      <w:r w:rsidR="00A877F7">
        <w:rPr>
          <w:rFonts w:ascii="Arial" w:hAnsi="Arial" w:cs="Arial"/>
          <w:sz w:val="22"/>
          <w:szCs w:val="22"/>
        </w:rPr>
        <w:t xml:space="preserve">to </w:t>
      </w:r>
      <w:r w:rsidR="0022240C">
        <w:rPr>
          <w:rFonts w:ascii="Arial" w:hAnsi="Arial" w:cs="Arial"/>
          <w:sz w:val="22"/>
          <w:szCs w:val="22"/>
        </w:rPr>
        <w:t>more affordable housi</w:t>
      </w:r>
      <w:r w:rsidR="00A877F7">
        <w:rPr>
          <w:rFonts w:ascii="Arial" w:hAnsi="Arial" w:cs="Arial"/>
          <w:sz w:val="22"/>
          <w:szCs w:val="22"/>
        </w:rPr>
        <w:t xml:space="preserve">ng provision in the longer term, as CHPs leverage their assets to secure for the investment. </w:t>
      </w:r>
    </w:p>
    <w:p w:rsidR="0022240C" w:rsidRPr="0022240C" w:rsidRDefault="0022240C" w:rsidP="00D16324">
      <w:pPr>
        <w:jc w:val="both"/>
        <w:rPr>
          <w:rFonts w:ascii="Arial" w:hAnsi="Arial" w:cs="Arial"/>
          <w:sz w:val="22"/>
          <w:szCs w:val="22"/>
        </w:rPr>
      </w:pPr>
    </w:p>
    <w:p w:rsidR="001C4DED" w:rsidRPr="00D33997" w:rsidRDefault="00D33997" w:rsidP="00D16324">
      <w:pPr>
        <w:ind w:left="720"/>
        <w:jc w:val="both"/>
        <w:rPr>
          <w:rFonts w:ascii="Arial" w:hAnsi="Arial" w:cs="Arial"/>
          <w:sz w:val="22"/>
          <w:szCs w:val="22"/>
        </w:rPr>
      </w:pPr>
      <w:r w:rsidRPr="0038354E">
        <w:rPr>
          <w:rFonts w:ascii="Arial" w:hAnsi="Arial" w:cs="Arial"/>
          <w:sz w:val="22"/>
          <w:szCs w:val="22"/>
        </w:rPr>
        <w:t>Under Section 94G of the Environmental Planning and Assessment Act 1979, affordable housing dedicated through the planning system must be dedicated and held by the planning authority, being Council in this case.</w:t>
      </w:r>
      <w:r w:rsidR="00D05285">
        <w:rPr>
          <w:rFonts w:ascii="Arial" w:hAnsi="Arial" w:cs="Arial"/>
          <w:sz w:val="22"/>
          <w:szCs w:val="22"/>
        </w:rPr>
        <w:t xml:space="preserve"> </w:t>
      </w:r>
      <w:r w:rsidR="00C508FB">
        <w:rPr>
          <w:rFonts w:ascii="Arial" w:hAnsi="Arial" w:cs="Arial"/>
          <w:sz w:val="22"/>
          <w:szCs w:val="22"/>
        </w:rPr>
        <w:t xml:space="preserve">Council will </w:t>
      </w:r>
      <w:r w:rsidR="00B22EC6">
        <w:rPr>
          <w:rFonts w:ascii="Arial" w:hAnsi="Arial" w:cs="Arial"/>
          <w:sz w:val="22"/>
          <w:szCs w:val="22"/>
        </w:rPr>
        <w:t xml:space="preserve">pursue </w:t>
      </w:r>
      <w:r w:rsidR="00C508FB">
        <w:rPr>
          <w:rFonts w:ascii="Arial" w:hAnsi="Arial" w:cs="Arial"/>
          <w:sz w:val="22"/>
          <w:szCs w:val="22"/>
        </w:rPr>
        <w:t xml:space="preserve">mechanisms to address this current impediment to its intention not to own and manage </w:t>
      </w:r>
      <w:r w:rsidR="0022240C">
        <w:rPr>
          <w:rFonts w:ascii="Arial" w:hAnsi="Arial" w:cs="Arial"/>
          <w:sz w:val="22"/>
          <w:szCs w:val="22"/>
        </w:rPr>
        <w:t xml:space="preserve">a </w:t>
      </w:r>
      <w:r w:rsidR="00A877F7">
        <w:rPr>
          <w:rFonts w:ascii="Arial" w:hAnsi="Arial" w:cs="Arial"/>
          <w:sz w:val="22"/>
          <w:szCs w:val="22"/>
        </w:rPr>
        <w:t xml:space="preserve">large volume of housing stock by advocating to the NSW Government. </w:t>
      </w:r>
    </w:p>
    <w:p w:rsidR="00816905" w:rsidRDefault="00816905" w:rsidP="00D16324">
      <w:pPr>
        <w:jc w:val="both"/>
        <w:rPr>
          <w:rFonts w:ascii="Arial" w:hAnsi="Arial" w:cs="Arial"/>
          <w:b/>
          <w:sz w:val="22"/>
          <w:szCs w:val="22"/>
        </w:rPr>
      </w:pPr>
    </w:p>
    <w:p w:rsidR="00976D48" w:rsidRDefault="00976D48" w:rsidP="000A2BF1">
      <w:pPr>
        <w:jc w:val="both"/>
        <w:rPr>
          <w:rFonts w:ascii="Arial" w:hAnsi="Arial" w:cs="Arial"/>
          <w:b/>
          <w:szCs w:val="22"/>
        </w:rPr>
      </w:pPr>
    </w:p>
    <w:p w:rsidR="00976D48" w:rsidRDefault="00976D48" w:rsidP="000A2BF1">
      <w:pPr>
        <w:jc w:val="both"/>
        <w:rPr>
          <w:rFonts w:ascii="Arial" w:hAnsi="Arial" w:cs="Arial"/>
          <w:b/>
          <w:szCs w:val="22"/>
        </w:rPr>
      </w:pPr>
    </w:p>
    <w:p w:rsidR="00976D48" w:rsidRDefault="00976D48" w:rsidP="000A2BF1">
      <w:pPr>
        <w:jc w:val="both"/>
        <w:rPr>
          <w:rFonts w:ascii="Arial" w:hAnsi="Arial" w:cs="Arial"/>
          <w:b/>
          <w:szCs w:val="22"/>
        </w:rPr>
      </w:pPr>
    </w:p>
    <w:p w:rsidR="00976D48" w:rsidRDefault="00976D48" w:rsidP="000A2BF1">
      <w:pPr>
        <w:jc w:val="both"/>
        <w:rPr>
          <w:rFonts w:ascii="Arial" w:hAnsi="Arial" w:cs="Arial"/>
          <w:b/>
          <w:szCs w:val="22"/>
        </w:rPr>
      </w:pPr>
    </w:p>
    <w:p w:rsidR="00976D48" w:rsidRDefault="00976D48" w:rsidP="000A2BF1">
      <w:pPr>
        <w:jc w:val="both"/>
        <w:rPr>
          <w:rFonts w:ascii="Arial" w:hAnsi="Arial" w:cs="Arial"/>
          <w:b/>
          <w:szCs w:val="22"/>
        </w:rPr>
      </w:pPr>
    </w:p>
    <w:p w:rsidR="00976D48" w:rsidRDefault="00976D48" w:rsidP="000A2BF1">
      <w:pPr>
        <w:jc w:val="both"/>
        <w:rPr>
          <w:rFonts w:ascii="Arial" w:hAnsi="Arial" w:cs="Arial"/>
          <w:b/>
          <w:szCs w:val="22"/>
        </w:rPr>
      </w:pPr>
    </w:p>
    <w:p w:rsidR="00976D48" w:rsidRDefault="00976D48" w:rsidP="000A2BF1">
      <w:pPr>
        <w:jc w:val="both"/>
        <w:rPr>
          <w:rFonts w:ascii="Arial" w:hAnsi="Arial" w:cs="Arial"/>
          <w:b/>
          <w:szCs w:val="22"/>
        </w:rPr>
      </w:pPr>
    </w:p>
    <w:p w:rsidR="00976D48" w:rsidRDefault="00976D48" w:rsidP="000A2BF1">
      <w:pPr>
        <w:jc w:val="both"/>
        <w:rPr>
          <w:rFonts w:ascii="Arial" w:hAnsi="Arial" w:cs="Arial"/>
          <w:b/>
          <w:szCs w:val="22"/>
        </w:rPr>
      </w:pPr>
    </w:p>
    <w:p w:rsidR="00976D48" w:rsidRDefault="00976D48" w:rsidP="000A2BF1">
      <w:pPr>
        <w:jc w:val="both"/>
        <w:rPr>
          <w:rFonts w:ascii="Arial" w:hAnsi="Arial" w:cs="Arial"/>
          <w:b/>
          <w:szCs w:val="22"/>
        </w:rPr>
      </w:pPr>
    </w:p>
    <w:p w:rsidR="00976D48" w:rsidRDefault="00976D48" w:rsidP="000A2BF1">
      <w:pPr>
        <w:jc w:val="both"/>
        <w:rPr>
          <w:rFonts w:ascii="Arial" w:hAnsi="Arial" w:cs="Arial"/>
          <w:b/>
          <w:szCs w:val="22"/>
        </w:rPr>
      </w:pPr>
    </w:p>
    <w:p w:rsidR="00976D48" w:rsidRDefault="00976D48" w:rsidP="000A2BF1">
      <w:pPr>
        <w:jc w:val="both"/>
        <w:rPr>
          <w:rFonts w:ascii="Arial" w:hAnsi="Arial" w:cs="Arial"/>
          <w:b/>
          <w:szCs w:val="22"/>
        </w:rPr>
      </w:pPr>
    </w:p>
    <w:p w:rsidR="00976D48" w:rsidRDefault="00976D48" w:rsidP="000A2BF1">
      <w:pPr>
        <w:jc w:val="both"/>
        <w:rPr>
          <w:rFonts w:ascii="Arial" w:hAnsi="Arial" w:cs="Arial"/>
          <w:b/>
          <w:szCs w:val="22"/>
        </w:rPr>
      </w:pPr>
    </w:p>
    <w:p w:rsidR="00976D48" w:rsidRDefault="00976D48" w:rsidP="000A2BF1">
      <w:pPr>
        <w:jc w:val="both"/>
        <w:rPr>
          <w:rFonts w:ascii="Arial" w:hAnsi="Arial" w:cs="Arial"/>
          <w:b/>
          <w:szCs w:val="22"/>
        </w:rPr>
      </w:pPr>
    </w:p>
    <w:p w:rsidR="00976D48" w:rsidRDefault="00976D48" w:rsidP="000A2BF1">
      <w:pPr>
        <w:jc w:val="both"/>
        <w:rPr>
          <w:rFonts w:ascii="Arial" w:hAnsi="Arial" w:cs="Arial"/>
          <w:b/>
          <w:szCs w:val="22"/>
        </w:rPr>
      </w:pPr>
    </w:p>
    <w:p w:rsidR="00976D48" w:rsidRDefault="00976D48" w:rsidP="000A2BF1">
      <w:pPr>
        <w:jc w:val="both"/>
        <w:rPr>
          <w:rFonts w:ascii="Arial" w:hAnsi="Arial" w:cs="Arial"/>
          <w:b/>
          <w:szCs w:val="22"/>
        </w:rPr>
      </w:pPr>
    </w:p>
    <w:p w:rsidR="000A2BF1" w:rsidRPr="008E10E6" w:rsidRDefault="005F4B8D" w:rsidP="00D16324">
      <w:pPr>
        <w:jc w:val="both"/>
        <w:rPr>
          <w:rFonts w:ascii="Arial" w:hAnsi="Arial" w:cs="Arial"/>
          <w:b/>
          <w:szCs w:val="22"/>
        </w:rPr>
      </w:pPr>
      <w:r w:rsidRPr="008E10E6">
        <w:rPr>
          <w:rFonts w:ascii="Arial" w:hAnsi="Arial" w:cs="Arial"/>
          <w:b/>
          <w:szCs w:val="22"/>
        </w:rPr>
        <w:lastRenderedPageBreak/>
        <w:t>4.3</w:t>
      </w:r>
      <w:r w:rsidR="000A2BF1" w:rsidRPr="008E10E6">
        <w:rPr>
          <w:rFonts w:ascii="Arial" w:hAnsi="Arial" w:cs="Arial"/>
          <w:b/>
          <w:szCs w:val="22"/>
        </w:rPr>
        <w:t xml:space="preserve"> </w:t>
      </w:r>
      <w:r w:rsidRPr="008E10E6">
        <w:rPr>
          <w:rFonts w:ascii="Arial" w:hAnsi="Arial" w:cs="Arial"/>
          <w:b/>
          <w:szCs w:val="22"/>
        </w:rPr>
        <w:t>Access and d</w:t>
      </w:r>
      <w:r w:rsidR="000A2BF1" w:rsidRPr="008E10E6">
        <w:rPr>
          <w:rFonts w:ascii="Arial" w:hAnsi="Arial" w:cs="Arial"/>
          <w:b/>
          <w:szCs w:val="22"/>
        </w:rPr>
        <w:t>esign outcomes for affordable housing dwellings</w:t>
      </w:r>
    </w:p>
    <w:p w:rsidR="000A2BF1" w:rsidRDefault="00310421" w:rsidP="00D16324">
      <w:pPr>
        <w:jc w:val="both"/>
        <w:rPr>
          <w:rFonts w:ascii="Arial" w:hAnsi="Arial" w:cs="Arial"/>
          <w:sz w:val="22"/>
          <w:szCs w:val="22"/>
        </w:rPr>
      </w:pPr>
      <w:r>
        <w:rPr>
          <w:rFonts w:ascii="Arial" w:hAnsi="Arial" w:cs="Arial"/>
          <w:sz w:val="22"/>
          <w:szCs w:val="22"/>
        </w:rPr>
        <w:t>City of Parramatta’s</w:t>
      </w:r>
      <w:r w:rsidR="00B63DF0">
        <w:rPr>
          <w:rFonts w:ascii="Arial" w:hAnsi="Arial" w:cs="Arial"/>
          <w:sz w:val="22"/>
          <w:szCs w:val="22"/>
        </w:rPr>
        <w:t xml:space="preserve"> draft</w:t>
      </w:r>
      <w:r>
        <w:rPr>
          <w:rFonts w:ascii="Arial" w:hAnsi="Arial" w:cs="Arial"/>
          <w:sz w:val="22"/>
          <w:szCs w:val="22"/>
        </w:rPr>
        <w:t xml:space="preserve"> Disability Inclusion Action Plan</w:t>
      </w:r>
      <w:r w:rsidR="00D06872">
        <w:rPr>
          <w:rFonts w:ascii="Arial" w:hAnsi="Arial" w:cs="Arial"/>
          <w:sz w:val="22"/>
          <w:szCs w:val="22"/>
        </w:rPr>
        <w:t xml:space="preserve"> (DIAP)</w:t>
      </w:r>
      <w:r>
        <w:rPr>
          <w:rFonts w:ascii="Arial" w:hAnsi="Arial" w:cs="Arial"/>
          <w:sz w:val="22"/>
          <w:szCs w:val="22"/>
        </w:rPr>
        <w:t xml:space="preserve"> outlines</w:t>
      </w:r>
      <w:r w:rsidR="00132F07">
        <w:rPr>
          <w:rFonts w:ascii="Arial" w:hAnsi="Arial" w:cs="Arial"/>
          <w:sz w:val="22"/>
          <w:szCs w:val="22"/>
        </w:rPr>
        <w:t xml:space="preserve"> Council’s commitment to ensure that </w:t>
      </w:r>
      <w:r w:rsidR="00132F07" w:rsidRPr="00132F07">
        <w:rPr>
          <w:rFonts w:ascii="Arial" w:hAnsi="Arial" w:cs="Arial"/>
          <w:sz w:val="22"/>
          <w:szCs w:val="22"/>
        </w:rPr>
        <w:t>services, facilities and programs provided by City of Parramatta are</w:t>
      </w:r>
      <w:r w:rsidR="00B63DF0">
        <w:rPr>
          <w:rFonts w:ascii="Arial" w:hAnsi="Arial" w:cs="Arial"/>
          <w:sz w:val="22"/>
          <w:szCs w:val="22"/>
        </w:rPr>
        <w:t xml:space="preserve"> accessible and</w:t>
      </w:r>
      <w:r w:rsidR="00132F07" w:rsidRPr="00132F07">
        <w:rPr>
          <w:rFonts w:ascii="Arial" w:hAnsi="Arial" w:cs="Arial"/>
          <w:sz w:val="22"/>
          <w:szCs w:val="22"/>
        </w:rPr>
        <w:t xml:space="preserve"> inclusive.</w:t>
      </w:r>
      <w:r w:rsidR="004302D8">
        <w:rPr>
          <w:rFonts w:ascii="Arial" w:hAnsi="Arial" w:cs="Arial"/>
          <w:sz w:val="22"/>
          <w:szCs w:val="22"/>
        </w:rPr>
        <w:t xml:space="preserve"> Affordable housing dwellings </w:t>
      </w:r>
      <w:r w:rsidR="001F5E2B">
        <w:rPr>
          <w:rFonts w:ascii="Arial" w:hAnsi="Arial" w:cs="Arial"/>
          <w:sz w:val="22"/>
          <w:szCs w:val="22"/>
        </w:rPr>
        <w:t>represent</w:t>
      </w:r>
      <w:r w:rsidR="004302D8">
        <w:rPr>
          <w:rFonts w:ascii="Arial" w:hAnsi="Arial" w:cs="Arial"/>
          <w:sz w:val="22"/>
          <w:szCs w:val="22"/>
        </w:rPr>
        <w:t xml:space="preserve"> a type of social infrastructure provided by Cit</w:t>
      </w:r>
      <w:r w:rsidR="001F5E2B">
        <w:rPr>
          <w:rFonts w:ascii="Arial" w:hAnsi="Arial" w:cs="Arial"/>
          <w:sz w:val="22"/>
          <w:szCs w:val="22"/>
        </w:rPr>
        <w:t>y of Parramatta Council</w:t>
      </w:r>
      <w:r w:rsidR="004E162D">
        <w:rPr>
          <w:rFonts w:ascii="Arial" w:hAnsi="Arial" w:cs="Arial"/>
          <w:sz w:val="22"/>
          <w:szCs w:val="22"/>
        </w:rPr>
        <w:t xml:space="preserve"> to address the social and economic impacts of poor housing affordability</w:t>
      </w:r>
      <w:r w:rsidR="0039233F">
        <w:rPr>
          <w:rFonts w:ascii="Arial" w:hAnsi="Arial" w:cs="Arial"/>
          <w:sz w:val="22"/>
          <w:szCs w:val="22"/>
        </w:rPr>
        <w:t>.</w:t>
      </w:r>
    </w:p>
    <w:p w:rsidR="00360DDF" w:rsidRDefault="00360DDF" w:rsidP="00D16324">
      <w:pPr>
        <w:jc w:val="both"/>
        <w:rPr>
          <w:rFonts w:ascii="Arial" w:hAnsi="Arial" w:cs="Arial"/>
          <w:sz w:val="22"/>
          <w:szCs w:val="22"/>
        </w:rPr>
      </w:pPr>
    </w:p>
    <w:p w:rsidR="00360DDF" w:rsidRPr="006E480D" w:rsidRDefault="00360DDF" w:rsidP="00D16324">
      <w:pPr>
        <w:jc w:val="both"/>
        <w:rPr>
          <w:rFonts w:ascii="Arial" w:hAnsi="Arial" w:cs="Arial"/>
          <w:sz w:val="22"/>
          <w:szCs w:val="22"/>
        </w:rPr>
      </w:pPr>
      <w:r>
        <w:rPr>
          <w:rFonts w:ascii="Arial" w:hAnsi="Arial" w:cs="Arial"/>
          <w:sz w:val="22"/>
          <w:szCs w:val="22"/>
        </w:rPr>
        <w:t xml:space="preserve">Council recognises that affordable housing stock must be accessible to all. Council also acknowledges that as the population ages, it is likely to see an older age cohort occupying affordable rental dwellings. This emphasises the need </w:t>
      </w:r>
      <w:r w:rsidR="00B63DF0">
        <w:rPr>
          <w:rFonts w:ascii="Arial" w:hAnsi="Arial" w:cs="Arial"/>
          <w:sz w:val="22"/>
          <w:szCs w:val="22"/>
        </w:rPr>
        <w:t>for all</w:t>
      </w:r>
      <w:r>
        <w:rPr>
          <w:rFonts w:ascii="Arial" w:hAnsi="Arial" w:cs="Arial"/>
          <w:sz w:val="22"/>
          <w:szCs w:val="22"/>
        </w:rPr>
        <w:t xml:space="preserve"> afford</w:t>
      </w:r>
      <w:r w:rsidR="00B63DF0">
        <w:rPr>
          <w:rFonts w:ascii="Arial" w:hAnsi="Arial" w:cs="Arial"/>
          <w:sz w:val="22"/>
          <w:szCs w:val="22"/>
        </w:rPr>
        <w:t>able rental dwellings to be</w:t>
      </w:r>
      <w:r>
        <w:rPr>
          <w:rFonts w:ascii="Arial" w:hAnsi="Arial" w:cs="Arial"/>
          <w:sz w:val="22"/>
          <w:szCs w:val="22"/>
        </w:rPr>
        <w:t xml:space="preserve"> universally accessible. </w:t>
      </w:r>
    </w:p>
    <w:p w:rsidR="006E480D" w:rsidRPr="006E480D" w:rsidRDefault="006E480D" w:rsidP="00D16324">
      <w:pPr>
        <w:jc w:val="both"/>
        <w:rPr>
          <w:rFonts w:ascii="Arial" w:hAnsi="Arial" w:cs="Arial"/>
          <w:sz w:val="22"/>
          <w:szCs w:val="22"/>
        </w:rPr>
      </w:pPr>
    </w:p>
    <w:p w:rsidR="000E64E5" w:rsidRPr="002B36C8" w:rsidRDefault="000E64E5" w:rsidP="00D16324">
      <w:pPr>
        <w:jc w:val="both"/>
        <w:rPr>
          <w:rFonts w:ascii="Arial" w:hAnsi="Arial" w:cs="Arial"/>
          <w:sz w:val="22"/>
          <w:szCs w:val="22"/>
        </w:rPr>
      </w:pPr>
      <w:r>
        <w:rPr>
          <w:rFonts w:ascii="Arial" w:hAnsi="Arial" w:cs="Arial"/>
          <w:sz w:val="22"/>
          <w:szCs w:val="22"/>
        </w:rPr>
        <w:t>The allocation of affordable housing dwellings to be dedicated to Council</w:t>
      </w:r>
      <w:r w:rsidR="002B36C8">
        <w:rPr>
          <w:rFonts w:ascii="Arial" w:hAnsi="Arial" w:cs="Arial"/>
          <w:sz w:val="22"/>
          <w:szCs w:val="22"/>
        </w:rPr>
        <w:t>, either</w:t>
      </w:r>
      <w:r>
        <w:rPr>
          <w:rFonts w:ascii="Arial" w:hAnsi="Arial" w:cs="Arial"/>
          <w:sz w:val="22"/>
          <w:szCs w:val="22"/>
        </w:rPr>
        <w:t xml:space="preserve"> through voluntary planning agreement</w:t>
      </w:r>
      <w:r w:rsidR="002B36C8">
        <w:rPr>
          <w:rFonts w:ascii="Arial" w:hAnsi="Arial" w:cs="Arial"/>
          <w:sz w:val="22"/>
          <w:szCs w:val="22"/>
        </w:rPr>
        <w:t>s</w:t>
      </w:r>
      <w:r>
        <w:rPr>
          <w:rFonts w:ascii="Arial" w:hAnsi="Arial" w:cs="Arial"/>
          <w:sz w:val="22"/>
          <w:szCs w:val="22"/>
        </w:rPr>
        <w:t xml:space="preserve"> or any other planning system mechanism</w:t>
      </w:r>
      <w:r w:rsidR="002B36C8">
        <w:rPr>
          <w:rFonts w:ascii="Arial" w:hAnsi="Arial" w:cs="Arial"/>
          <w:sz w:val="22"/>
          <w:szCs w:val="22"/>
        </w:rPr>
        <w:t>,</w:t>
      </w:r>
      <w:r>
        <w:rPr>
          <w:rFonts w:ascii="Arial" w:hAnsi="Arial" w:cs="Arial"/>
          <w:sz w:val="22"/>
          <w:szCs w:val="22"/>
        </w:rPr>
        <w:t xml:space="preserve"> is to be undertaken in accordance with the </w:t>
      </w:r>
      <w:r w:rsidRPr="002B36C8">
        <w:rPr>
          <w:rFonts w:ascii="Arial" w:hAnsi="Arial" w:cs="Arial"/>
          <w:sz w:val="22"/>
          <w:szCs w:val="22"/>
        </w:rPr>
        <w:t>following conditions:</w:t>
      </w:r>
    </w:p>
    <w:p w:rsidR="000E64E5" w:rsidRPr="002B36C8" w:rsidRDefault="000E64E5" w:rsidP="00D16324">
      <w:pPr>
        <w:jc w:val="both"/>
        <w:rPr>
          <w:rFonts w:ascii="Arial" w:hAnsi="Arial" w:cs="Arial"/>
          <w:sz w:val="22"/>
          <w:szCs w:val="22"/>
        </w:rPr>
      </w:pPr>
    </w:p>
    <w:p w:rsidR="000E64E5" w:rsidRPr="002B36C8" w:rsidRDefault="00E939E0" w:rsidP="00D16324">
      <w:pPr>
        <w:pStyle w:val="ListParagraph"/>
        <w:numPr>
          <w:ilvl w:val="0"/>
          <w:numId w:val="10"/>
        </w:numPr>
        <w:jc w:val="both"/>
        <w:rPr>
          <w:rFonts w:ascii="Arial" w:hAnsi="Arial" w:cs="Arial"/>
          <w:sz w:val="22"/>
          <w:szCs w:val="22"/>
        </w:rPr>
      </w:pPr>
      <w:r w:rsidRPr="002B36C8">
        <w:rPr>
          <w:rFonts w:ascii="Arial" w:hAnsi="Arial" w:cs="Arial"/>
          <w:sz w:val="22"/>
          <w:szCs w:val="22"/>
        </w:rPr>
        <w:t xml:space="preserve">The </w:t>
      </w:r>
      <w:r w:rsidR="00A52850" w:rsidRPr="002B36C8">
        <w:rPr>
          <w:rFonts w:ascii="Arial" w:hAnsi="Arial" w:cs="Arial"/>
          <w:sz w:val="22"/>
          <w:szCs w:val="22"/>
        </w:rPr>
        <w:t>make-up of</w:t>
      </w:r>
      <w:r w:rsidRPr="002B36C8">
        <w:rPr>
          <w:rFonts w:ascii="Arial" w:hAnsi="Arial" w:cs="Arial"/>
          <w:sz w:val="22"/>
          <w:szCs w:val="22"/>
        </w:rPr>
        <w:t xml:space="preserve"> </w:t>
      </w:r>
      <w:r w:rsidR="00945E93" w:rsidRPr="002B36C8">
        <w:rPr>
          <w:rFonts w:ascii="Arial" w:hAnsi="Arial" w:cs="Arial"/>
          <w:sz w:val="22"/>
          <w:szCs w:val="22"/>
        </w:rPr>
        <w:t>dwelling sizes</w:t>
      </w:r>
      <w:r w:rsidRPr="002B36C8">
        <w:rPr>
          <w:rFonts w:ascii="Arial" w:hAnsi="Arial" w:cs="Arial"/>
          <w:sz w:val="22"/>
          <w:szCs w:val="22"/>
        </w:rPr>
        <w:t xml:space="preserve"> dedicated</w:t>
      </w:r>
      <w:r w:rsidR="00A52850" w:rsidRPr="002B36C8">
        <w:rPr>
          <w:rFonts w:ascii="Arial" w:hAnsi="Arial" w:cs="Arial"/>
          <w:sz w:val="22"/>
          <w:szCs w:val="22"/>
        </w:rPr>
        <w:t xml:space="preserve"> to Council</w:t>
      </w:r>
      <w:r w:rsidRPr="002B36C8">
        <w:rPr>
          <w:rFonts w:ascii="Arial" w:hAnsi="Arial" w:cs="Arial"/>
          <w:sz w:val="22"/>
          <w:szCs w:val="22"/>
        </w:rPr>
        <w:t xml:space="preserve"> </w:t>
      </w:r>
      <w:r w:rsidR="00A52850" w:rsidRPr="002B36C8">
        <w:rPr>
          <w:rFonts w:ascii="Arial" w:hAnsi="Arial" w:cs="Arial"/>
          <w:sz w:val="22"/>
          <w:szCs w:val="22"/>
        </w:rPr>
        <w:t xml:space="preserve">as affordable housing </w:t>
      </w:r>
      <w:r w:rsidR="00945E93" w:rsidRPr="002B36C8">
        <w:rPr>
          <w:rFonts w:ascii="Arial" w:hAnsi="Arial" w:cs="Arial"/>
          <w:sz w:val="22"/>
          <w:szCs w:val="22"/>
        </w:rPr>
        <w:t>must be</w:t>
      </w:r>
      <w:r w:rsidRPr="002B36C8">
        <w:rPr>
          <w:rFonts w:ascii="Arial" w:hAnsi="Arial" w:cs="Arial"/>
          <w:sz w:val="22"/>
          <w:szCs w:val="22"/>
        </w:rPr>
        <w:t xml:space="preserve"> p</w:t>
      </w:r>
      <w:r w:rsidR="00945E93" w:rsidRPr="002B36C8">
        <w:rPr>
          <w:rFonts w:ascii="Arial" w:hAnsi="Arial" w:cs="Arial"/>
          <w:sz w:val="22"/>
          <w:szCs w:val="22"/>
        </w:rPr>
        <w:t xml:space="preserve">roportionate to the dwelling </w:t>
      </w:r>
      <w:r w:rsidR="002B36C8" w:rsidRPr="002B36C8">
        <w:rPr>
          <w:rFonts w:ascii="Arial" w:hAnsi="Arial" w:cs="Arial"/>
          <w:sz w:val="22"/>
          <w:szCs w:val="22"/>
        </w:rPr>
        <w:t>sizes present in the overall development.</w:t>
      </w:r>
    </w:p>
    <w:p w:rsidR="00B96B31" w:rsidRDefault="00CE3770" w:rsidP="00D16324">
      <w:pPr>
        <w:pStyle w:val="ListParagraph"/>
        <w:numPr>
          <w:ilvl w:val="0"/>
          <w:numId w:val="10"/>
        </w:numPr>
        <w:jc w:val="both"/>
        <w:rPr>
          <w:rFonts w:ascii="Arial" w:hAnsi="Arial" w:cs="Arial"/>
          <w:sz w:val="22"/>
          <w:szCs w:val="22"/>
        </w:rPr>
      </w:pPr>
      <w:r>
        <w:rPr>
          <w:rFonts w:ascii="Arial" w:hAnsi="Arial" w:cs="Arial"/>
          <w:sz w:val="22"/>
          <w:szCs w:val="22"/>
        </w:rPr>
        <w:t xml:space="preserve">Affordable housing dwellings to be dedicated </w:t>
      </w:r>
      <w:r w:rsidR="007A6C92">
        <w:rPr>
          <w:rFonts w:ascii="Arial" w:hAnsi="Arial" w:cs="Arial"/>
          <w:sz w:val="22"/>
          <w:szCs w:val="22"/>
        </w:rPr>
        <w:t xml:space="preserve">to Council </w:t>
      </w:r>
      <w:r>
        <w:rPr>
          <w:rFonts w:ascii="Arial" w:hAnsi="Arial" w:cs="Arial"/>
          <w:sz w:val="22"/>
          <w:szCs w:val="22"/>
        </w:rPr>
        <w:t xml:space="preserve">are subject to the same design </w:t>
      </w:r>
      <w:r w:rsidR="00432E25">
        <w:rPr>
          <w:rFonts w:ascii="Arial" w:hAnsi="Arial" w:cs="Arial"/>
          <w:sz w:val="22"/>
          <w:szCs w:val="22"/>
        </w:rPr>
        <w:t xml:space="preserve">requirements and </w:t>
      </w:r>
      <w:r>
        <w:rPr>
          <w:rFonts w:ascii="Arial" w:hAnsi="Arial" w:cs="Arial"/>
          <w:sz w:val="22"/>
          <w:szCs w:val="22"/>
        </w:rPr>
        <w:t xml:space="preserve">controls as all other </w:t>
      </w:r>
      <w:r w:rsidR="00FF4E55">
        <w:rPr>
          <w:rFonts w:ascii="Arial" w:hAnsi="Arial" w:cs="Arial"/>
          <w:sz w:val="22"/>
          <w:szCs w:val="22"/>
        </w:rPr>
        <w:t xml:space="preserve">dwellings </w:t>
      </w:r>
      <w:r>
        <w:rPr>
          <w:rFonts w:ascii="Arial" w:hAnsi="Arial" w:cs="Arial"/>
          <w:sz w:val="22"/>
          <w:szCs w:val="22"/>
        </w:rPr>
        <w:t xml:space="preserve">within a development </w:t>
      </w:r>
      <w:r w:rsidR="00F77215">
        <w:rPr>
          <w:rFonts w:ascii="Arial" w:hAnsi="Arial" w:cs="Arial"/>
          <w:sz w:val="22"/>
          <w:szCs w:val="22"/>
        </w:rPr>
        <w:t>site.</w:t>
      </w:r>
      <w:r w:rsidR="00355F8F">
        <w:rPr>
          <w:rFonts w:ascii="Arial" w:hAnsi="Arial" w:cs="Arial"/>
          <w:sz w:val="22"/>
          <w:szCs w:val="22"/>
        </w:rPr>
        <w:t xml:space="preserve"> This includes design outcomes and characteristics such as solar access and cross</w:t>
      </w:r>
      <w:r w:rsidR="00B4553F">
        <w:rPr>
          <w:rFonts w:ascii="Arial" w:hAnsi="Arial" w:cs="Arial"/>
          <w:sz w:val="22"/>
          <w:szCs w:val="22"/>
        </w:rPr>
        <w:t>-ventilation.</w:t>
      </w:r>
    </w:p>
    <w:p w:rsidR="00976D48" w:rsidRDefault="00976D48" w:rsidP="00D16324">
      <w:pPr>
        <w:jc w:val="both"/>
        <w:rPr>
          <w:rFonts w:ascii="Arial" w:hAnsi="Arial" w:cs="Arial"/>
          <w:sz w:val="22"/>
          <w:szCs w:val="22"/>
        </w:rPr>
      </w:pPr>
    </w:p>
    <w:p w:rsidR="00976D48" w:rsidRDefault="00976D48" w:rsidP="00D16324">
      <w:pPr>
        <w:jc w:val="both"/>
        <w:rPr>
          <w:rFonts w:ascii="Arial" w:hAnsi="Arial" w:cs="Arial"/>
          <w:sz w:val="22"/>
          <w:szCs w:val="22"/>
        </w:rPr>
      </w:pPr>
    </w:p>
    <w:p w:rsidR="00976D48" w:rsidRDefault="00976D48" w:rsidP="00976D48">
      <w:pPr>
        <w:jc w:val="both"/>
        <w:rPr>
          <w:rFonts w:ascii="Arial" w:hAnsi="Arial" w:cs="Arial"/>
          <w:sz w:val="22"/>
          <w:szCs w:val="22"/>
        </w:rPr>
      </w:pPr>
    </w:p>
    <w:p w:rsidR="00976D48" w:rsidRDefault="00976D48" w:rsidP="00976D48">
      <w:pPr>
        <w:jc w:val="both"/>
        <w:rPr>
          <w:rFonts w:ascii="Arial" w:hAnsi="Arial" w:cs="Arial"/>
          <w:sz w:val="22"/>
          <w:szCs w:val="22"/>
        </w:rPr>
      </w:pPr>
    </w:p>
    <w:p w:rsidR="00976D48" w:rsidRDefault="00976D48" w:rsidP="00976D48">
      <w:pPr>
        <w:jc w:val="both"/>
        <w:rPr>
          <w:rFonts w:ascii="Arial" w:hAnsi="Arial" w:cs="Arial"/>
          <w:sz w:val="22"/>
          <w:szCs w:val="22"/>
        </w:rPr>
      </w:pPr>
    </w:p>
    <w:p w:rsidR="00976D48" w:rsidRDefault="00976D48" w:rsidP="00976D48">
      <w:pPr>
        <w:jc w:val="both"/>
        <w:rPr>
          <w:rFonts w:ascii="Arial" w:hAnsi="Arial" w:cs="Arial"/>
          <w:sz w:val="22"/>
          <w:szCs w:val="22"/>
        </w:rPr>
      </w:pPr>
    </w:p>
    <w:p w:rsidR="00976D48" w:rsidRDefault="00976D48" w:rsidP="00976D48">
      <w:pPr>
        <w:jc w:val="both"/>
        <w:rPr>
          <w:rFonts w:ascii="Arial" w:hAnsi="Arial" w:cs="Arial"/>
          <w:sz w:val="22"/>
          <w:szCs w:val="22"/>
        </w:rPr>
      </w:pPr>
    </w:p>
    <w:p w:rsidR="00976D48" w:rsidRDefault="00976D48" w:rsidP="00976D48">
      <w:pPr>
        <w:jc w:val="both"/>
        <w:rPr>
          <w:rFonts w:ascii="Arial" w:hAnsi="Arial" w:cs="Arial"/>
          <w:sz w:val="22"/>
          <w:szCs w:val="22"/>
        </w:rPr>
      </w:pPr>
    </w:p>
    <w:p w:rsidR="00976D48" w:rsidRDefault="00976D48" w:rsidP="00976D48">
      <w:pPr>
        <w:jc w:val="both"/>
        <w:rPr>
          <w:rFonts w:ascii="Arial" w:hAnsi="Arial" w:cs="Arial"/>
          <w:sz w:val="22"/>
          <w:szCs w:val="22"/>
        </w:rPr>
      </w:pPr>
    </w:p>
    <w:p w:rsidR="00976D48" w:rsidRDefault="00976D48" w:rsidP="00976D48">
      <w:pPr>
        <w:jc w:val="both"/>
        <w:rPr>
          <w:rFonts w:ascii="Arial" w:hAnsi="Arial" w:cs="Arial"/>
          <w:sz w:val="22"/>
          <w:szCs w:val="22"/>
        </w:rPr>
      </w:pPr>
    </w:p>
    <w:p w:rsidR="00976D48" w:rsidRDefault="00976D48" w:rsidP="00976D48">
      <w:pPr>
        <w:jc w:val="both"/>
        <w:rPr>
          <w:rFonts w:ascii="Arial" w:hAnsi="Arial" w:cs="Arial"/>
          <w:sz w:val="22"/>
          <w:szCs w:val="22"/>
        </w:rPr>
      </w:pPr>
    </w:p>
    <w:p w:rsidR="00976D48" w:rsidRDefault="00976D48" w:rsidP="00976D48">
      <w:pPr>
        <w:jc w:val="both"/>
        <w:rPr>
          <w:rFonts w:ascii="Arial" w:hAnsi="Arial" w:cs="Arial"/>
          <w:sz w:val="22"/>
          <w:szCs w:val="22"/>
        </w:rPr>
      </w:pPr>
    </w:p>
    <w:p w:rsidR="00976D48" w:rsidRDefault="00976D48" w:rsidP="00976D48">
      <w:pPr>
        <w:jc w:val="both"/>
        <w:rPr>
          <w:rFonts w:ascii="Arial" w:hAnsi="Arial" w:cs="Arial"/>
          <w:sz w:val="22"/>
          <w:szCs w:val="22"/>
        </w:rPr>
      </w:pPr>
    </w:p>
    <w:p w:rsidR="00976D48" w:rsidRDefault="00976D48" w:rsidP="00976D48">
      <w:pPr>
        <w:jc w:val="both"/>
        <w:rPr>
          <w:rFonts w:ascii="Arial" w:hAnsi="Arial" w:cs="Arial"/>
          <w:sz w:val="22"/>
          <w:szCs w:val="22"/>
        </w:rPr>
      </w:pPr>
    </w:p>
    <w:p w:rsidR="00976D48" w:rsidRDefault="00976D48" w:rsidP="00976D48">
      <w:pPr>
        <w:jc w:val="both"/>
        <w:rPr>
          <w:rFonts w:ascii="Arial" w:hAnsi="Arial" w:cs="Arial"/>
          <w:sz w:val="22"/>
          <w:szCs w:val="22"/>
        </w:rPr>
      </w:pPr>
    </w:p>
    <w:p w:rsidR="00976D48" w:rsidRDefault="00976D48" w:rsidP="00976D48">
      <w:pPr>
        <w:jc w:val="both"/>
        <w:rPr>
          <w:rFonts w:ascii="Arial" w:hAnsi="Arial" w:cs="Arial"/>
          <w:sz w:val="22"/>
          <w:szCs w:val="22"/>
        </w:rPr>
      </w:pPr>
    </w:p>
    <w:p w:rsidR="00976D48" w:rsidRDefault="00976D48" w:rsidP="00976D48">
      <w:pPr>
        <w:jc w:val="both"/>
        <w:rPr>
          <w:rFonts w:ascii="Arial" w:hAnsi="Arial" w:cs="Arial"/>
          <w:sz w:val="22"/>
          <w:szCs w:val="22"/>
        </w:rPr>
      </w:pPr>
    </w:p>
    <w:p w:rsidR="00976D48" w:rsidRDefault="00976D48" w:rsidP="00976D48">
      <w:pPr>
        <w:jc w:val="both"/>
        <w:rPr>
          <w:rFonts w:ascii="Arial" w:hAnsi="Arial" w:cs="Arial"/>
          <w:sz w:val="22"/>
          <w:szCs w:val="22"/>
        </w:rPr>
      </w:pPr>
    </w:p>
    <w:p w:rsidR="00976D48" w:rsidRDefault="00976D48" w:rsidP="00976D48">
      <w:pPr>
        <w:jc w:val="both"/>
        <w:rPr>
          <w:rFonts w:ascii="Arial" w:hAnsi="Arial" w:cs="Arial"/>
          <w:sz w:val="22"/>
          <w:szCs w:val="22"/>
        </w:rPr>
      </w:pPr>
    </w:p>
    <w:p w:rsidR="00DB7AC5" w:rsidRDefault="00DB7AC5" w:rsidP="00976D48">
      <w:pPr>
        <w:jc w:val="both"/>
        <w:rPr>
          <w:rFonts w:ascii="Arial" w:hAnsi="Arial" w:cs="Arial"/>
          <w:sz w:val="22"/>
          <w:szCs w:val="22"/>
        </w:rPr>
      </w:pPr>
    </w:p>
    <w:p w:rsidR="00DB7AC5" w:rsidRDefault="00DB7AC5" w:rsidP="00976D48">
      <w:pPr>
        <w:jc w:val="both"/>
        <w:rPr>
          <w:rFonts w:ascii="Arial" w:hAnsi="Arial" w:cs="Arial"/>
          <w:sz w:val="22"/>
          <w:szCs w:val="22"/>
        </w:rPr>
      </w:pPr>
    </w:p>
    <w:p w:rsidR="00DB7AC5" w:rsidRDefault="00DB7AC5" w:rsidP="00976D48">
      <w:pPr>
        <w:jc w:val="both"/>
        <w:rPr>
          <w:rFonts w:ascii="Arial" w:hAnsi="Arial" w:cs="Arial"/>
          <w:sz w:val="22"/>
          <w:szCs w:val="22"/>
        </w:rPr>
      </w:pPr>
    </w:p>
    <w:p w:rsidR="00DB7AC5" w:rsidRPr="00976D48" w:rsidRDefault="00DB7AC5" w:rsidP="00976D48">
      <w:pPr>
        <w:jc w:val="both"/>
        <w:rPr>
          <w:rFonts w:ascii="Arial" w:hAnsi="Arial" w:cs="Arial"/>
          <w:sz w:val="22"/>
          <w:szCs w:val="22"/>
        </w:rPr>
      </w:pPr>
    </w:p>
    <w:p w:rsidR="009D0B0B" w:rsidRPr="00DB0317" w:rsidRDefault="009D0B0B" w:rsidP="006E499F">
      <w:pPr>
        <w:rPr>
          <w:rFonts w:ascii="Arial" w:hAnsi="Arial" w:cs="Arial"/>
          <w:b/>
          <w:sz w:val="22"/>
          <w:szCs w:val="22"/>
        </w:rPr>
      </w:pPr>
    </w:p>
    <w:p w:rsidR="006E499F" w:rsidRPr="008E10E6" w:rsidRDefault="006E499F" w:rsidP="00D16324">
      <w:pPr>
        <w:pStyle w:val="ListParagraph"/>
        <w:numPr>
          <w:ilvl w:val="0"/>
          <w:numId w:val="5"/>
        </w:numPr>
        <w:pBdr>
          <w:top w:val="single" w:sz="4" w:space="1" w:color="auto"/>
        </w:pBdr>
        <w:ind w:left="426" w:hanging="426"/>
        <w:jc w:val="both"/>
        <w:rPr>
          <w:rFonts w:ascii="Arial" w:hAnsi="Arial" w:cs="Arial"/>
          <w:b/>
          <w:sz w:val="28"/>
          <w:szCs w:val="22"/>
        </w:rPr>
      </w:pPr>
      <w:r w:rsidRPr="008E10E6">
        <w:rPr>
          <w:rFonts w:ascii="Arial" w:hAnsi="Arial" w:cs="Arial"/>
          <w:b/>
          <w:sz w:val="28"/>
          <w:szCs w:val="22"/>
        </w:rPr>
        <w:lastRenderedPageBreak/>
        <w:t xml:space="preserve">Procedure </w:t>
      </w:r>
    </w:p>
    <w:p w:rsidR="006E499F" w:rsidRDefault="006E499F" w:rsidP="00D16324">
      <w:pPr>
        <w:jc w:val="both"/>
        <w:rPr>
          <w:rFonts w:ascii="Arial" w:hAnsi="Arial" w:cs="Arial"/>
          <w:szCs w:val="20"/>
        </w:rPr>
      </w:pPr>
    </w:p>
    <w:p w:rsidR="00E12F63" w:rsidRPr="008E10E6" w:rsidRDefault="00592D55" w:rsidP="00D16324">
      <w:pPr>
        <w:jc w:val="both"/>
        <w:rPr>
          <w:rFonts w:ascii="Arial" w:hAnsi="Arial" w:cs="Arial"/>
          <w:b/>
          <w:szCs w:val="22"/>
        </w:rPr>
      </w:pPr>
      <w:r w:rsidRPr="008E10E6">
        <w:rPr>
          <w:rFonts w:ascii="Arial" w:hAnsi="Arial" w:cs="Arial"/>
          <w:b/>
          <w:szCs w:val="22"/>
        </w:rPr>
        <w:t>5.1 Delivering the 2036 a</w:t>
      </w:r>
      <w:r w:rsidR="000A71BD" w:rsidRPr="008E10E6">
        <w:rPr>
          <w:rFonts w:ascii="Arial" w:hAnsi="Arial" w:cs="Arial"/>
          <w:b/>
          <w:szCs w:val="22"/>
        </w:rPr>
        <w:t xml:space="preserve">ffordable </w:t>
      </w:r>
      <w:r w:rsidRPr="008E10E6">
        <w:rPr>
          <w:rFonts w:ascii="Arial" w:hAnsi="Arial" w:cs="Arial"/>
          <w:b/>
          <w:szCs w:val="22"/>
        </w:rPr>
        <w:t>rental housing and social housing t</w:t>
      </w:r>
      <w:r w:rsidR="000A71BD" w:rsidRPr="008E10E6">
        <w:rPr>
          <w:rFonts w:ascii="Arial" w:hAnsi="Arial" w:cs="Arial"/>
          <w:b/>
          <w:szCs w:val="22"/>
        </w:rPr>
        <w:t>argets</w:t>
      </w:r>
    </w:p>
    <w:p w:rsidR="00761F1A" w:rsidRDefault="000A71BD" w:rsidP="00D16324">
      <w:pPr>
        <w:jc w:val="both"/>
        <w:rPr>
          <w:rFonts w:ascii="Arial" w:hAnsi="Arial" w:cs="Arial"/>
          <w:sz w:val="22"/>
          <w:szCs w:val="22"/>
        </w:rPr>
      </w:pPr>
      <w:r w:rsidRPr="00534D07">
        <w:rPr>
          <w:rFonts w:ascii="Arial" w:hAnsi="Arial" w:cs="Arial"/>
          <w:sz w:val="22"/>
          <w:szCs w:val="22"/>
        </w:rPr>
        <w:t xml:space="preserve">This Policy cannot anticipate what numbers of affordable rental housing </w:t>
      </w:r>
      <w:r w:rsidR="001B3DFB">
        <w:rPr>
          <w:rFonts w:ascii="Arial" w:hAnsi="Arial" w:cs="Arial"/>
          <w:sz w:val="22"/>
          <w:szCs w:val="22"/>
        </w:rPr>
        <w:t xml:space="preserve">dwellings </w:t>
      </w:r>
      <w:r w:rsidRPr="00534D07">
        <w:rPr>
          <w:rFonts w:ascii="Arial" w:hAnsi="Arial" w:cs="Arial"/>
          <w:sz w:val="22"/>
          <w:szCs w:val="22"/>
        </w:rPr>
        <w:t>will be provided by Community Housing Providers or the State Government</w:t>
      </w:r>
      <w:r w:rsidR="00A44BB3">
        <w:rPr>
          <w:rFonts w:ascii="Arial" w:hAnsi="Arial" w:cs="Arial"/>
          <w:sz w:val="22"/>
          <w:szCs w:val="22"/>
        </w:rPr>
        <w:t xml:space="preserve"> over the next 20 years</w:t>
      </w:r>
      <w:r w:rsidRPr="00534D07">
        <w:rPr>
          <w:rFonts w:ascii="Arial" w:hAnsi="Arial" w:cs="Arial"/>
          <w:sz w:val="22"/>
          <w:szCs w:val="22"/>
        </w:rPr>
        <w:t xml:space="preserve">. But Council can provide estimated affordable housing yields from private </w:t>
      </w:r>
      <w:r w:rsidR="00A44BB3">
        <w:rPr>
          <w:rFonts w:ascii="Arial" w:hAnsi="Arial" w:cs="Arial"/>
          <w:sz w:val="22"/>
          <w:szCs w:val="22"/>
        </w:rPr>
        <w:t xml:space="preserve">and government </w:t>
      </w:r>
      <w:r w:rsidRPr="00534D07">
        <w:rPr>
          <w:rFonts w:ascii="Arial" w:hAnsi="Arial" w:cs="Arial"/>
          <w:sz w:val="22"/>
          <w:szCs w:val="22"/>
        </w:rPr>
        <w:t>development based on currently known</w:t>
      </w:r>
      <w:r w:rsidR="00A44BB3">
        <w:rPr>
          <w:rFonts w:ascii="Arial" w:hAnsi="Arial" w:cs="Arial"/>
          <w:sz w:val="22"/>
          <w:szCs w:val="22"/>
        </w:rPr>
        <w:t xml:space="preserve"> planning proposals,</w:t>
      </w:r>
      <w:r>
        <w:rPr>
          <w:rFonts w:ascii="Arial" w:hAnsi="Arial" w:cs="Arial"/>
          <w:sz w:val="22"/>
          <w:szCs w:val="22"/>
        </w:rPr>
        <w:t xml:space="preserve"> development applications</w:t>
      </w:r>
      <w:r w:rsidR="00A44BB3">
        <w:rPr>
          <w:rFonts w:ascii="Arial" w:hAnsi="Arial" w:cs="Arial"/>
          <w:sz w:val="22"/>
          <w:szCs w:val="22"/>
        </w:rPr>
        <w:t xml:space="preserve"> and precinct renewal plans</w:t>
      </w:r>
      <w:r>
        <w:rPr>
          <w:rFonts w:ascii="Arial" w:hAnsi="Arial" w:cs="Arial"/>
          <w:sz w:val="22"/>
          <w:szCs w:val="22"/>
        </w:rPr>
        <w:t xml:space="preserve"> and the application of the percentages of provision set out in this Policy</w:t>
      </w:r>
      <w:r w:rsidR="00A44BB3">
        <w:rPr>
          <w:rFonts w:ascii="Arial" w:hAnsi="Arial" w:cs="Arial"/>
          <w:sz w:val="22"/>
          <w:szCs w:val="22"/>
        </w:rPr>
        <w:t>.</w:t>
      </w:r>
    </w:p>
    <w:p w:rsidR="000A71BD" w:rsidRDefault="000A71BD" w:rsidP="00D16324">
      <w:pPr>
        <w:jc w:val="both"/>
        <w:rPr>
          <w:rFonts w:ascii="Arial" w:hAnsi="Arial" w:cs="Arial"/>
          <w:szCs w:val="20"/>
        </w:rPr>
      </w:pPr>
    </w:p>
    <w:p w:rsidR="00C03764" w:rsidRPr="008E10E6" w:rsidRDefault="00C03764" w:rsidP="00D16324">
      <w:pPr>
        <w:jc w:val="both"/>
        <w:rPr>
          <w:rFonts w:ascii="Arial" w:hAnsi="Arial" w:cs="Arial"/>
          <w:b/>
          <w:szCs w:val="20"/>
        </w:rPr>
      </w:pPr>
      <w:r w:rsidRPr="008E10E6">
        <w:rPr>
          <w:rFonts w:ascii="Arial" w:hAnsi="Arial" w:cs="Arial"/>
          <w:b/>
          <w:szCs w:val="20"/>
        </w:rPr>
        <w:t xml:space="preserve">5.2 Management of </w:t>
      </w:r>
      <w:r w:rsidR="006F6E95" w:rsidRPr="008E10E6">
        <w:rPr>
          <w:rFonts w:ascii="Arial" w:hAnsi="Arial" w:cs="Arial"/>
          <w:b/>
          <w:szCs w:val="20"/>
        </w:rPr>
        <w:t>City of Parramatta’s Affordable Housing Bank</w:t>
      </w:r>
    </w:p>
    <w:p w:rsidR="006F6E95" w:rsidRPr="00045C88" w:rsidRDefault="006F6E95" w:rsidP="00D16324">
      <w:pPr>
        <w:jc w:val="both"/>
        <w:rPr>
          <w:rFonts w:ascii="Arial" w:hAnsi="Arial" w:cs="Arial"/>
          <w:sz w:val="22"/>
          <w:szCs w:val="20"/>
        </w:rPr>
      </w:pPr>
      <w:r w:rsidRPr="00045C88">
        <w:rPr>
          <w:rFonts w:ascii="Arial" w:hAnsi="Arial" w:cs="Arial"/>
          <w:sz w:val="22"/>
          <w:szCs w:val="20"/>
        </w:rPr>
        <w:t xml:space="preserve">The Affordable Housing Bank refers to the stock of dwellings that the City of Parramatta has acquired or built that are owned and operated for the purposes of providing affordable rental housing. </w:t>
      </w:r>
    </w:p>
    <w:p w:rsidR="006F6E95" w:rsidRPr="00045C88" w:rsidRDefault="006F6E95" w:rsidP="00D16324">
      <w:pPr>
        <w:jc w:val="both"/>
        <w:rPr>
          <w:rFonts w:ascii="Arial" w:hAnsi="Arial" w:cs="Arial"/>
          <w:sz w:val="22"/>
          <w:szCs w:val="20"/>
        </w:rPr>
      </w:pPr>
    </w:p>
    <w:p w:rsidR="00C03764" w:rsidRPr="00045C88" w:rsidRDefault="00A37E2C" w:rsidP="00D16324">
      <w:pPr>
        <w:jc w:val="both"/>
        <w:rPr>
          <w:rFonts w:ascii="Arial" w:hAnsi="Arial" w:cs="Arial"/>
          <w:sz w:val="22"/>
          <w:szCs w:val="20"/>
        </w:rPr>
      </w:pPr>
      <w:r w:rsidRPr="00045C88">
        <w:rPr>
          <w:rFonts w:ascii="Arial" w:hAnsi="Arial" w:cs="Arial"/>
          <w:sz w:val="22"/>
          <w:szCs w:val="20"/>
        </w:rPr>
        <w:t xml:space="preserve">City of Parramatta Council </w:t>
      </w:r>
      <w:r w:rsidR="00751865" w:rsidRPr="00045C88">
        <w:rPr>
          <w:rFonts w:ascii="Arial" w:hAnsi="Arial" w:cs="Arial"/>
          <w:sz w:val="22"/>
          <w:szCs w:val="20"/>
        </w:rPr>
        <w:t xml:space="preserve">will </w:t>
      </w:r>
      <w:r w:rsidR="00CF7411">
        <w:rPr>
          <w:rFonts w:ascii="Arial" w:hAnsi="Arial" w:cs="Arial"/>
          <w:sz w:val="22"/>
          <w:szCs w:val="20"/>
        </w:rPr>
        <w:t>appoint</w:t>
      </w:r>
      <w:r w:rsidR="00751865" w:rsidRPr="00045C88">
        <w:rPr>
          <w:rFonts w:ascii="Arial" w:hAnsi="Arial" w:cs="Arial"/>
          <w:sz w:val="22"/>
          <w:szCs w:val="20"/>
        </w:rPr>
        <w:t xml:space="preserve"> </w:t>
      </w:r>
      <w:r w:rsidR="00CF7411">
        <w:rPr>
          <w:rFonts w:ascii="Arial" w:hAnsi="Arial" w:cs="Arial"/>
          <w:sz w:val="22"/>
          <w:szCs w:val="20"/>
        </w:rPr>
        <w:t xml:space="preserve">a </w:t>
      </w:r>
      <w:r w:rsidR="00CF7411" w:rsidRPr="00045C88">
        <w:rPr>
          <w:rFonts w:ascii="Arial" w:hAnsi="Arial" w:cs="Arial"/>
          <w:sz w:val="22"/>
          <w:szCs w:val="20"/>
        </w:rPr>
        <w:t xml:space="preserve">Community Housing Provider (CHP) to manage all aspects of the operation of Council’s Affordable Housing Bank </w:t>
      </w:r>
      <w:r w:rsidR="00751865" w:rsidRPr="00045C88">
        <w:rPr>
          <w:rFonts w:ascii="Arial" w:hAnsi="Arial" w:cs="Arial"/>
          <w:sz w:val="22"/>
          <w:szCs w:val="20"/>
        </w:rPr>
        <w:t>in accordance with</w:t>
      </w:r>
      <w:r w:rsidR="00A76445">
        <w:rPr>
          <w:rFonts w:ascii="Arial" w:hAnsi="Arial" w:cs="Arial"/>
          <w:sz w:val="22"/>
          <w:szCs w:val="20"/>
        </w:rPr>
        <w:t xml:space="preserve"> Council’s </w:t>
      </w:r>
      <w:r w:rsidR="004E69E2" w:rsidRPr="00045C88">
        <w:rPr>
          <w:rFonts w:ascii="Arial" w:hAnsi="Arial" w:cs="Arial"/>
          <w:sz w:val="22"/>
          <w:szCs w:val="20"/>
        </w:rPr>
        <w:t>Procurement</w:t>
      </w:r>
      <w:r w:rsidR="00CF7411">
        <w:rPr>
          <w:rFonts w:ascii="Arial" w:hAnsi="Arial" w:cs="Arial"/>
          <w:sz w:val="22"/>
          <w:szCs w:val="20"/>
        </w:rPr>
        <w:t xml:space="preserve"> Policy</w:t>
      </w:r>
      <w:r w:rsidR="00C632F4" w:rsidRPr="00045C88">
        <w:rPr>
          <w:rFonts w:ascii="Arial" w:hAnsi="Arial" w:cs="Arial"/>
          <w:sz w:val="22"/>
          <w:szCs w:val="20"/>
        </w:rPr>
        <w:t xml:space="preserve">. </w:t>
      </w:r>
      <w:r w:rsidR="008D6B22" w:rsidRPr="00045C88">
        <w:rPr>
          <w:rFonts w:ascii="Arial" w:hAnsi="Arial" w:cs="Arial"/>
          <w:sz w:val="22"/>
          <w:szCs w:val="20"/>
        </w:rPr>
        <w:t xml:space="preserve">The management of the City’s </w:t>
      </w:r>
      <w:r w:rsidR="006F6E95" w:rsidRPr="00045C88">
        <w:rPr>
          <w:rFonts w:ascii="Arial" w:hAnsi="Arial" w:cs="Arial"/>
          <w:sz w:val="22"/>
          <w:szCs w:val="20"/>
        </w:rPr>
        <w:t xml:space="preserve">Affordable Housing Bank </w:t>
      </w:r>
      <w:r w:rsidR="008D6B22" w:rsidRPr="00045C88">
        <w:rPr>
          <w:rFonts w:ascii="Arial" w:hAnsi="Arial" w:cs="Arial"/>
          <w:sz w:val="22"/>
          <w:szCs w:val="20"/>
        </w:rPr>
        <w:t xml:space="preserve">will be </w:t>
      </w:r>
      <w:r w:rsidR="008C2CBC" w:rsidRPr="00045C88">
        <w:rPr>
          <w:rFonts w:ascii="Arial" w:hAnsi="Arial" w:cs="Arial"/>
          <w:sz w:val="22"/>
          <w:szCs w:val="20"/>
        </w:rPr>
        <w:t xml:space="preserve">undertaken </w:t>
      </w:r>
      <w:r w:rsidR="008D6B22" w:rsidRPr="00045C88">
        <w:rPr>
          <w:rFonts w:ascii="Arial" w:hAnsi="Arial" w:cs="Arial"/>
          <w:sz w:val="22"/>
          <w:szCs w:val="20"/>
        </w:rPr>
        <w:t>in accordance with this Policy and any relevant procedural docu</w:t>
      </w:r>
      <w:r w:rsidR="00CF7411">
        <w:rPr>
          <w:rFonts w:ascii="Arial" w:hAnsi="Arial" w:cs="Arial"/>
          <w:sz w:val="22"/>
          <w:szCs w:val="20"/>
        </w:rPr>
        <w:t>ments developed to ensure that p</w:t>
      </w:r>
      <w:r w:rsidR="008D6B22" w:rsidRPr="00045C88">
        <w:rPr>
          <w:rFonts w:ascii="Arial" w:hAnsi="Arial" w:cs="Arial"/>
          <w:sz w:val="22"/>
          <w:szCs w:val="20"/>
        </w:rPr>
        <w:t>olicy objectives are achieved</w:t>
      </w:r>
      <w:r w:rsidR="00D37DAB" w:rsidRPr="00045C88">
        <w:rPr>
          <w:rFonts w:ascii="Arial" w:hAnsi="Arial" w:cs="Arial"/>
          <w:sz w:val="22"/>
          <w:szCs w:val="20"/>
        </w:rPr>
        <w:t xml:space="preserve"> through operation of </w:t>
      </w:r>
      <w:r w:rsidR="00CF7411">
        <w:rPr>
          <w:rFonts w:ascii="Arial" w:hAnsi="Arial" w:cs="Arial"/>
          <w:sz w:val="22"/>
          <w:szCs w:val="20"/>
        </w:rPr>
        <w:t xml:space="preserve">affordable housing </w:t>
      </w:r>
      <w:r w:rsidR="00D37DAB" w:rsidRPr="00045C88">
        <w:rPr>
          <w:rFonts w:ascii="Arial" w:hAnsi="Arial" w:cs="Arial"/>
          <w:sz w:val="22"/>
          <w:szCs w:val="20"/>
        </w:rPr>
        <w:t>assets</w:t>
      </w:r>
      <w:r w:rsidR="008D6B22" w:rsidRPr="00045C88">
        <w:rPr>
          <w:rFonts w:ascii="Arial" w:hAnsi="Arial" w:cs="Arial"/>
          <w:sz w:val="22"/>
          <w:szCs w:val="20"/>
        </w:rPr>
        <w:t xml:space="preserve">. </w:t>
      </w:r>
    </w:p>
    <w:p w:rsidR="00C03764" w:rsidRDefault="00C03764" w:rsidP="00D16324">
      <w:pPr>
        <w:jc w:val="both"/>
        <w:rPr>
          <w:rFonts w:ascii="Arial" w:hAnsi="Arial" w:cs="Arial"/>
          <w:b/>
          <w:szCs w:val="20"/>
        </w:rPr>
      </w:pPr>
    </w:p>
    <w:p w:rsidR="00E12F63" w:rsidRPr="008E10E6" w:rsidRDefault="00C03764" w:rsidP="00D16324">
      <w:pPr>
        <w:jc w:val="both"/>
        <w:rPr>
          <w:rFonts w:ascii="Arial" w:hAnsi="Arial" w:cs="Arial"/>
          <w:b/>
          <w:szCs w:val="20"/>
        </w:rPr>
      </w:pPr>
      <w:r w:rsidRPr="008E10E6">
        <w:rPr>
          <w:rFonts w:ascii="Arial" w:hAnsi="Arial" w:cs="Arial"/>
          <w:b/>
          <w:szCs w:val="20"/>
        </w:rPr>
        <w:t xml:space="preserve">5.3 </w:t>
      </w:r>
      <w:r w:rsidR="00CC2F11" w:rsidRPr="008E10E6">
        <w:rPr>
          <w:rFonts w:ascii="Arial" w:hAnsi="Arial" w:cs="Arial"/>
          <w:b/>
          <w:szCs w:val="20"/>
        </w:rPr>
        <w:t xml:space="preserve">Tenant </w:t>
      </w:r>
      <w:r w:rsidR="00592D55" w:rsidRPr="008E10E6">
        <w:rPr>
          <w:rFonts w:ascii="Arial" w:hAnsi="Arial" w:cs="Arial"/>
          <w:b/>
          <w:szCs w:val="20"/>
        </w:rPr>
        <w:t>el</w:t>
      </w:r>
      <w:r w:rsidRPr="008E10E6">
        <w:rPr>
          <w:rFonts w:ascii="Arial" w:hAnsi="Arial" w:cs="Arial"/>
          <w:b/>
          <w:szCs w:val="20"/>
        </w:rPr>
        <w:t xml:space="preserve">igibility for </w:t>
      </w:r>
      <w:r w:rsidR="00CC2F11" w:rsidRPr="008E10E6">
        <w:rPr>
          <w:rFonts w:ascii="Arial" w:hAnsi="Arial" w:cs="Arial"/>
          <w:b/>
          <w:szCs w:val="20"/>
        </w:rPr>
        <w:t>the Affordable Housing Bank</w:t>
      </w:r>
    </w:p>
    <w:p w:rsidR="00E12F63" w:rsidRPr="00045C88" w:rsidRDefault="00CC2F11" w:rsidP="00D16324">
      <w:pPr>
        <w:jc w:val="both"/>
        <w:rPr>
          <w:rFonts w:ascii="Arial" w:hAnsi="Arial" w:cs="Arial"/>
          <w:sz w:val="22"/>
          <w:szCs w:val="22"/>
        </w:rPr>
      </w:pPr>
      <w:r w:rsidRPr="00045C88">
        <w:rPr>
          <w:rFonts w:ascii="Arial" w:hAnsi="Arial" w:cs="Arial"/>
          <w:sz w:val="22"/>
          <w:szCs w:val="22"/>
        </w:rPr>
        <w:t xml:space="preserve">Affordable rental dwellings delivered from Council’s Affordable Housing Bank will be </w:t>
      </w:r>
      <w:r w:rsidR="0041506D">
        <w:rPr>
          <w:rFonts w:ascii="Arial" w:hAnsi="Arial" w:cs="Arial"/>
          <w:sz w:val="22"/>
          <w:szCs w:val="22"/>
        </w:rPr>
        <w:t>tenanted</w:t>
      </w:r>
      <w:r w:rsidRPr="00045C88">
        <w:rPr>
          <w:rFonts w:ascii="Arial" w:hAnsi="Arial" w:cs="Arial"/>
          <w:sz w:val="22"/>
          <w:szCs w:val="22"/>
        </w:rPr>
        <w:t xml:space="preserve"> by the CHP that Council has engaged to manage them. Selection of tenants will be undertaken through an eligibility shortlisting process </w:t>
      </w:r>
      <w:r w:rsidR="004C696E">
        <w:rPr>
          <w:rFonts w:ascii="Arial" w:hAnsi="Arial" w:cs="Arial"/>
          <w:sz w:val="22"/>
          <w:szCs w:val="22"/>
        </w:rPr>
        <w:t>as agreed by Council</w:t>
      </w:r>
      <w:r w:rsidRPr="00045C88">
        <w:rPr>
          <w:rFonts w:ascii="Arial" w:hAnsi="Arial" w:cs="Arial"/>
          <w:sz w:val="22"/>
          <w:szCs w:val="22"/>
        </w:rPr>
        <w:t xml:space="preserve">. </w:t>
      </w:r>
      <w:r w:rsidR="00017A69" w:rsidRPr="00045C88">
        <w:rPr>
          <w:rFonts w:ascii="Arial" w:hAnsi="Arial" w:cs="Arial"/>
          <w:sz w:val="22"/>
          <w:szCs w:val="22"/>
        </w:rPr>
        <w:t xml:space="preserve">Details of eligibility criteria will be specified in procedural documents. </w:t>
      </w:r>
      <w:r w:rsidR="004C696E">
        <w:rPr>
          <w:rFonts w:ascii="Arial" w:hAnsi="Arial" w:cs="Arial"/>
          <w:sz w:val="22"/>
          <w:szCs w:val="22"/>
        </w:rPr>
        <w:t>In summary</w:t>
      </w:r>
      <w:r w:rsidR="00017A69" w:rsidRPr="00045C88">
        <w:rPr>
          <w:rFonts w:ascii="Arial" w:hAnsi="Arial" w:cs="Arial"/>
          <w:sz w:val="22"/>
          <w:szCs w:val="22"/>
        </w:rPr>
        <w:t>, the criteria will include:</w:t>
      </w:r>
    </w:p>
    <w:p w:rsidR="00017A69" w:rsidRPr="00045C88" w:rsidRDefault="00A76445" w:rsidP="00D16324">
      <w:pPr>
        <w:pStyle w:val="ListParagraph"/>
        <w:numPr>
          <w:ilvl w:val="0"/>
          <w:numId w:val="12"/>
        </w:numPr>
        <w:jc w:val="both"/>
        <w:rPr>
          <w:rFonts w:ascii="Arial" w:hAnsi="Arial" w:cs="Arial"/>
          <w:sz w:val="22"/>
          <w:szCs w:val="22"/>
        </w:rPr>
      </w:pPr>
      <w:r>
        <w:rPr>
          <w:rFonts w:ascii="Arial" w:hAnsi="Arial" w:cs="Arial"/>
          <w:sz w:val="22"/>
          <w:szCs w:val="22"/>
        </w:rPr>
        <w:t>Low to moderate income earners</w:t>
      </w:r>
      <w:r w:rsidR="00113E1B">
        <w:rPr>
          <w:rFonts w:ascii="Arial" w:hAnsi="Arial" w:cs="Arial"/>
          <w:sz w:val="22"/>
          <w:szCs w:val="22"/>
        </w:rPr>
        <w:t xml:space="preserve"> as </w:t>
      </w:r>
      <w:r w:rsidR="00AA7B99">
        <w:rPr>
          <w:rFonts w:ascii="Arial" w:hAnsi="Arial" w:cs="Arial"/>
          <w:sz w:val="22"/>
          <w:szCs w:val="22"/>
        </w:rPr>
        <w:t>defined in the Environmental Planning and Assessment Act 1979</w:t>
      </w:r>
      <w:r w:rsidR="009045BC">
        <w:rPr>
          <w:rFonts w:ascii="Arial" w:hAnsi="Arial" w:cs="Arial"/>
          <w:sz w:val="22"/>
          <w:szCs w:val="22"/>
        </w:rPr>
        <w:t xml:space="preserve"> (see Section 6).</w:t>
      </w:r>
    </w:p>
    <w:p w:rsidR="00017A69" w:rsidRDefault="00017A69" w:rsidP="00D16324">
      <w:pPr>
        <w:pStyle w:val="ListParagraph"/>
        <w:numPr>
          <w:ilvl w:val="0"/>
          <w:numId w:val="12"/>
        </w:numPr>
        <w:jc w:val="both"/>
        <w:rPr>
          <w:rFonts w:ascii="Arial" w:hAnsi="Arial" w:cs="Arial"/>
          <w:sz w:val="22"/>
          <w:szCs w:val="22"/>
        </w:rPr>
      </w:pPr>
      <w:r w:rsidRPr="00045C88">
        <w:rPr>
          <w:rFonts w:ascii="Arial" w:hAnsi="Arial" w:cs="Arial"/>
          <w:sz w:val="22"/>
          <w:szCs w:val="22"/>
        </w:rPr>
        <w:t xml:space="preserve">Required </w:t>
      </w:r>
      <w:r w:rsidR="002F381C">
        <w:rPr>
          <w:rFonts w:ascii="Arial" w:hAnsi="Arial" w:cs="Arial"/>
          <w:sz w:val="22"/>
          <w:szCs w:val="22"/>
        </w:rPr>
        <w:t xml:space="preserve">evidence demonstrating a </w:t>
      </w:r>
      <w:r w:rsidRPr="00045C88">
        <w:rPr>
          <w:rFonts w:ascii="Arial" w:hAnsi="Arial" w:cs="Arial"/>
          <w:sz w:val="22"/>
          <w:szCs w:val="22"/>
        </w:rPr>
        <w:t>connection to the City of Parramatta</w:t>
      </w:r>
      <w:r w:rsidR="00471F28">
        <w:rPr>
          <w:rFonts w:ascii="Arial" w:hAnsi="Arial" w:cs="Arial"/>
          <w:sz w:val="22"/>
          <w:szCs w:val="22"/>
        </w:rPr>
        <w:t>:</w:t>
      </w:r>
    </w:p>
    <w:p w:rsidR="00DB07E0" w:rsidRDefault="00DB07E0" w:rsidP="00D16324">
      <w:pPr>
        <w:pStyle w:val="ListParagraph"/>
        <w:numPr>
          <w:ilvl w:val="1"/>
          <w:numId w:val="12"/>
        </w:numPr>
        <w:jc w:val="both"/>
        <w:rPr>
          <w:rFonts w:ascii="Arial" w:hAnsi="Arial" w:cs="Arial"/>
          <w:sz w:val="22"/>
          <w:szCs w:val="22"/>
        </w:rPr>
      </w:pPr>
      <w:r w:rsidRPr="00471F28">
        <w:rPr>
          <w:rFonts w:ascii="Arial" w:hAnsi="Arial" w:cs="Arial"/>
          <w:sz w:val="22"/>
          <w:szCs w:val="22"/>
        </w:rPr>
        <w:t>Current employment or full-time study within the City of Parramatta local government area</w:t>
      </w:r>
    </w:p>
    <w:p w:rsidR="00471F28" w:rsidRDefault="00471F28" w:rsidP="00D16324">
      <w:pPr>
        <w:pStyle w:val="ListParagraph"/>
        <w:numPr>
          <w:ilvl w:val="1"/>
          <w:numId w:val="12"/>
        </w:numPr>
        <w:jc w:val="both"/>
        <w:rPr>
          <w:rFonts w:ascii="Arial" w:hAnsi="Arial" w:cs="Arial"/>
          <w:sz w:val="22"/>
          <w:szCs w:val="22"/>
        </w:rPr>
      </w:pPr>
      <w:r>
        <w:rPr>
          <w:rFonts w:ascii="Arial" w:hAnsi="Arial" w:cs="Arial"/>
          <w:sz w:val="22"/>
          <w:szCs w:val="22"/>
        </w:rPr>
        <w:t>Current social connections</w:t>
      </w:r>
    </w:p>
    <w:p w:rsidR="0027447B" w:rsidRDefault="00471F28" w:rsidP="00D16324">
      <w:pPr>
        <w:pStyle w:val="ListParagraph"/>
        <w:numPr>
          <w:ilvl w:val="1"/>
          <w:numId w:val="12"/>
        </w:numPr>
        <w:jc w:val="both"/>
        <w:rPr>
          <w:rFonts w:ascii="Arial" w:hAnsi="Arial" w:cs="Arial"/>
          <w:sz w:val="22"/>
          <w:szCs w:val="22"/>
        </w:rPr>
      </w:pPr>
      <w:r>
        <w:rPr>
          <w:rFonts w:ascii="Arial" w:hAnsi="Arial" w:cs="Arial"/>
          <w:sz w:val="22"/>
          <w:szCs w:val="22"/>
        </w:rPr>
        <w:t>Current service and other support network connections</w:t>
      </w:r>
    </w:p>
    <w:p w:rsidR="0027447B" w:rsidRDefault="0027447B" w:rsidP="00D16324">
      <w:pPr>
        <w:jc w:val="both"/>
        <w:rPr>
          <w:rFonts w:ascii="Arial" w:hAnsi="Arial" w:cs="Arial"/>
          <w:sz w:val="22"/>
          <w:szCs w:val="22"/>
        </w:rPr>
      </w:pPr>
    </w:p>
    <w:p w:rsidR="0027447B" w:rsidRPr="0027447B" w:rsidRDefault="0027447B" w:rsidP="00D16324">
      <w:pPr>
        <w:jc w:val="both"/>
        <w:rPr>
          <w:rFonts w:ascii="Arial" w:hAnsi="Arial" w:cs="Arial"/>
          <w:sz w:val="22"/>
          <w:szCs w:val="22"/>
        </w:rPr>
      </w:pPr>
      <w:r>
        <w:rPr>
          <w:rFonts w:ascii="Arial" w:hAnsi="Arial" w:cs="Arial"/>
          <w:sz w:val="22"/>
          <w:szCs w:val="22"/>
        </w:rPr>
        <w:t>These eligibility criteria are designed to ensure that affordable housing is provided appropriately to address housing stress levels in City of Parramatta and helps to improve the social sustainability of our community as a result.</w:t>
      </w:r>
    </w:p>
    <w:p w:rsidR="00471F28" w:rsidRPr="00471F28" w:rsidRDefault="00471F28" w:rsidP="00D16324">
      <w:pPr>
        <w:pStyle w:val="ListParagraph"/>
        <w:ind w:left="1440"/>
        <w:jc w:val="both"/>
        <w:rPr>
          <w:rFonts w:ascii="Arial" w:hAnsi="Arial" w:cs="Arial"/>
          <w:sz w:val="22"/>
          <w:szCs w:val="22"/>
        </w:rPr>
      </w:pPr>
    </w:p>
    <w:p w:rsidR="00B7560A" w:rsidRPr="008E10E6" w:rsidRDefault="0041030F" w:rsidP="00D16324">
      <w:pPr>
        <w:pBdr>
          <w:bottom w:val="single" w:sz="4" w:space="1" w:color="auto"/>
        </w:pBdr>
        <w:jc w:val="both"/>
        <w:rPr>
          <w:rFonts w:ascii="Arial" w:hAnsi="Arial" w:cs="Arial"/>
          <w:b/>
          <w:szCs w:val="22"/>
        </w:rPr>
      </w:pPr>
      <w:r w:rsidRPr="008E10E6">
        <w:rPr>
          <w:rFonts w:ascii="Arial" w:hAnsi="Arial" w:cs="Arial"/>
          <w:b/>
          <w:szCs w:val="22"/>
        </w:rPr>
        <w:t>5.4 Reporting and m</w:t>
      </w:r>
      <w:r w:rsidR="00761F1A" w:rsidRPr="008E10E6">
        <w:rPr>
          <w:rFonts w:ascii="Arial" w:hAnsi="Arial" w:cs="Arial"/>
          <w:b/>
          <w:szCs w:val="22"/>
        </w:rPr>
        <w:t>onitoring</w:t>
      </w:r>
    </w:p>
    <w:p w:rsidR="00B7560A" w:rsidRDefault="00761F1A" w:rsidP="00D16324">
      <w:pPr>
        <w:pBdr>
          <w:bottom w:val="single" w:sz="4" w:space="1" w:color="auto"/>
        </w:pBdr>
        <w:jc w:val="both"/>
        <w:rPr>
          <w:rFonts w:ascii="Arial" w:hAnsi="Arial" w:cs="Arial"/>
          <w:sz w:val="22"/>
          <w:szCs w:val="22"/>
        </w:rPr>
      </w:pPr>
      <w:r>
        <w:rPr>
          <w:rFonts w:ascii="Arial" w:hAnsi="Arial" w:cs="Arial"/>
          <w:sz w:val="22"/>
          <w:szCs w:val="22"/>
        </w:rPr>
        <w:t xml:space="preserve">Council will monitor the provision of all affordable rental housing and social </w:t>
      </w:r>
      <w:r w:rsidR="008A2221">
        <w:rPr>
          <w:rFonts w:ascii="Arial" w:hAnsi="Arial" w:cs="Arial"/>
          <w:sz w:val="22"/>
          <w:szCs w:val="22"/>
        </w:rPr>
        <w:t>housing</w:t>
      </w:r>
      <w:r>
        <w:rPr>
          <w:rFonts w:ascii="Arial" w:hAnsi="Arial" w:cs="Arial"/>
          <w:sz w:val="22"/>
          <w:szCs w:val="22"/>
        </w:rPr>
        <w:t xml:space="preserve"> on an annual </w:t>
      </w:r>
      <w:r w:rsidR="00A8655B">
        <w:rPr>
          <w:rFonts w:ascii="Arial" w:hAnsi="Arial" w:cs="Arial"/>
          <w:sz w:val="22"/>
          <w:szCs w:val="22"/>
        </w:rPr>
        <w:t>basis in order to track progress towards the target. This will include:</w:t>
      </w:r>
    </w:p>
    <w:p w:rsidR="00A8655B" w:rsidRDefault="00A8655B" w:rsidP="00D16324">
      <w:pPr>
        <w:pStyle w:val="ListParagraph"/>
        <w:numPr>
          <w:ilvl w:val="0"/>
          <w:numId w:val="27"/>
        </w:numPr>
        <w:pBdr>
          <w:bottom w:val="single" w:sz="4" w:space="1" w:color="auto"/>
        </w:pBdr>
        <w:jc w:val="both"/>
        <w:rPr>
          <w:rFonts w:ascii="Arial" w:hAnsi="Arial" w:cs="Arial"/>
          <w:sz w:val="22"/>
          <w:szCs w:val="22"/>
        </w:rPr>
      </w:pPr>
      <w:r>
        <w:rPr>
          <w:rFonts w:ascii="Arial" w:hAnsi="Arial" w:cs="Arial"/>
          <w:sz w:val="22"/>
          <w:szCs w:val="22"/>
        </w:rPr>
        <w:t>Housing delivered under the ARH SEPP 2009, including all forms permitted under this planning policy</w:t>
      </w:r>
    </w:p>
    <w:p w:rsidR="00A8655B" w:rsidRDefault="00A8655B" w:rsidP="00D16324">
      <w:pPr>
        <w:pStyle w:val="ListParagraph"/>
        <w:numPr>
          <w:ilvl w:val="0"/>
          <w:numId w:val="27"/>
        </w:numPr>
        <w:pBdr>
          <w:bottom w:val="single" w:sz="4" w:space="1" w:color="auto"/>
        </w:pBdr>
        <w:jc w:val="both"/>
        <w:rPr>
          <w:rFonts w:ascii="Arial" w:hAnsi="Arial" w:cs="Arial"/>
          <w:sz w:val="22"/>
          <w:szCs w:val="22"/>
        </w:rPr>
      </w:pPr>
      <w:r>
        <w:rPr>
          <w:rFonts w:ascii="Arial" w:hAnsi="Arial" w:cs="Arial"/>
          <w:sz w:val="22"/>
          <w:szCs w:val="22"/>
        </w:rPr>
        <w:lastRenderedPageBreak/>
        <w:t>An annu</w:t>
      </w:r>
      <w:r w:rsidR="009045BC">
        <w:rPr>
          <w:rFonts w:ascii="Arial" w:hAnsi="Arial" w:cs="Arial"/>
          <w:sz w:val="22"/>
          <w:szCs w:val="22"/>
        </w:rPr>
        <w:t>al survey of Community Housing P</w:t>
      </w:r>
      <w:r>
        <w:rPr>
          <w:rFonts w:ascii="Arial" w:hAnsi="Arial" w:cs="Arial"/>
          <w:sz w:val="22"/>
          <w:szCs w:val="22"/>
        </w:rPr>
        <w:t>rov</w:t>
      </w:r>
      <w:r w:rsidR="009045BC">
        <w:rPr>
          <w:rFonts w:ascii="Arial" w:hAnsi="Arial" w:cs="Arial"/>
          <w:sz w:val="22"/>
          <w:szCs w:val="22"/>
        </w:rPr>
        <w:t>iders to measure their housing provision</w:t>
      </w:r>
      <w:r>
        <w:rPr>
          <w:rFonts w:ascii="Arial" w:hAnsi="Arial" w:cs="Arial"/>
          <w:sz w:val="22"/>
          <w:szCs w:val="22"/>
        </w:rPr>
        <w:t xml:space="preserve"> in City of Parramatta</w:t>
      </w:r>
    </w:p>
    <w:p w:rsidR="00A8655B" w:rsidRDefault="00A8655B" w:rsidP="00D16324">
      <w:pPr>
        <w:pStyle w:val="ListParagraph"/>
        <w:numPr>
          <w:ilvl w:val="0"/>
          <w:numId w:val="27"/>
        </w:numPr>
        <w:pBdr>
          <w:bottom w:val="single" w:sz="4" w:space="1" w:color="auto"/>
        </w:pBdr>
        <w:jc w:val="both"/>
        <w:rPr>
          <w:rFonts w:ascii="Arial" w:hAnsi="Arial" w:cs="Arial"/>
          <w:sz w:val="22"/>
          <w:szCs w:val="22"/>
        </w:rPr>
      </w:pPr>
      <w:r>
        <w:rPr>
          <w:rFonts w:ascii="Arial" w:hAnsi="Arial" w:cs="Arial"/>
          <w:sz w:val="22"/>
          <w:szCs w:val="22"/>
        </w:rPr>
        <w:t>Any affordable housing negotiated by</w:t>
      </w:r>
      <w:r w:rsidR="009045BC">
        <w:rPr>
          <w:rFonts w:ascii="Arial" w:hAnsi="Arial" w:cs="Arial"/>
          <w:sz w:val="22"/>
          <w:szCs w:val="22"/>
        </w:rPr>
        <w:t xml:space="preserve"> or provided directly by</w:t>
      </w:r>
      <w:r>
        <w:rPr>
          <w:rFonts w:ascii="Arial" w:hAnsi="Arial" w:cs="Arial"/>
          <w:sz w:val="22"/>
          <w:szCs w:val="22"/>
        </w:rPr>
        <w:t xml:space="preserve"> Council</w:t>
      </w:r>
    </w:p>
    <w:p w:rsidR="00D90BB0" w:rsidRDefault="00A8655B" w:rsidP="00D16324">
      <w:pPr>
        <w:pStyle w:val="ListParagraph"/>
        <w:numPr>
          <w:ilvl w:val="0"/>
          <w:numId w:val="27"/>
        </w:numPr>
        <w:pBdr>
          <w:bottom w:val="single" w:sz="4" w:space="1" w:color="auto"/>
        </w:pBdr>
        <w:jc w:val="both"/>
        <w:rPr>
          <w:rFonts w:ascii="Arial" w:hAnsi="Arial" w:cs="Arial"/>
          <w:sz w:val="22"/>
          <w:szCs w:val="22"/>
        </w:rPr>
      </w:pPr>
      <w:r>
        <w:rPr>
          <w:rFonts w:ascii="Arial" w:hAnsi="Arial" w:cs="Arial"/>
          <w:sz w:val="22"/>
          <w:szCs w:val="22"/>
        </w:rPr>
        <w:t>Social housing provided by the NSW Government</w:t>
      </w:r>
    </w:p>
    <w:p w:rsidR="00220E1E" w:rsidRDefault="00220E1E" w:rsidP="00D16324">
      <w:pPr>
        <w:pBdr>
          <w:bottom w:val="single" w:sz="4" w:space="1" w:color="auto"/>
        </w:pBdr>
        <w:jc w:val="both"/>
        <w:rPr>
          <w:rFonts w:ascii="Arial" w:hAnsi="Arial" w:cs="Arial"/>
          <w:sz w:val="22"/>
          <w:szCs w:val="22"/>
        </w:rPr>
      </w:pPr>
    </w:p>
    <w:p w:rsidR="00220E1E" w:rsidRDefault="00220E1E" w:rsidP="00D16324">
      <w:pPr>
        <w:pBdr>
          <w:bottom w:val="single" w:sz="4" w:space="1" w:color="auto"/>
        </w:pBdr>
        <w:jc w:val="both"/>
        <w:rPr>
          <w:rFonts w:ascii="Arial" w:hAnsi="Arial" w:cs="Arial"/>
          <w:sz w:val="22"/>
          <w:szCs w:val="22"/>
        </w:rPr>
      </w:pPr>
      <w:r>
        <w:rPr>
          <w:rFonts w:ascii="Arial" w:hAnsi="Arial" w:cs="Arial"/>
          <w:sz w:val="22"/>
          <w:szCs w:val="22"/>
        </w:rPr>
        <w:t>Council will also monitor broader quality of life measures to assess the impact of Policy implementation as follows:</w:t>
      </w:r>
    </w:p>
    <w:p w:rsidR="00220E1E" w:rsidRDefault="00220E1E" w:rsidP="00D16324">
      <w:pPr>
        <w:pStyle w:val="ListParagraph"/>
        <w:numPr>
          <w:ilvl w:val="0"/>
          <w:numId w:val="30"/>
        </w:numPr>
        <w:pBdr>
          <w:bottom w:val="single" w:sz="4" w:space="1" w:color="auto"/>
        </w:pBdr>
        <w:jc w:val="both"/>
        <w:rPr>
          <w:rFonts w:ascii="Arial" w:hAnsi="Arial" w:cs="Arial"/>
          <w:sz w:val="22"/>
          <w:szCs w:val="22"/>
        </w:rPr>
      </w:pPr>
      <w:r>
        <w:rPr>
          <w:rFonts w:ascii="Arial" w:hAnsi="Arial" w:cs="Arial"/>
          <w:sz w:val="22"/>
          <w:szCs w:val="22"/>
        </w:rPr>
        <w:t>Levels of housing stress experienced in the LGA</w:t>
      </w:r>
    </w:p>
    <w:p w:rsidR="00220E1E" w:rsidRDefault="00220E1E" w:rsidP="00D16324">
      <w:pPr>
        <w:pStyle w:val="ListParagraph"/>
        <w:numPr>
          <w:ilvl w:val="0"/>
          <w:numId w:val="30"/>
        </w:numPr>
        <w:pBdr>
          <w:bottom w:val="single" w:sz="4" w:space="1" w:color="auto"/>
        </w:pBdr>
        <w:jc w:val="both"/>
        <w:rPr>
          <w:rFonts w:ascii="Arial" w:hAnsi="Arial" w:cs="Arial"/>
          <w:sz w:val="22"/>
          <w:szCs w:val="22"/>
        </w:rPr>
      </w:pPr>
      <w:r>
        <w:rPr>
          <w:rFonts w:ascii="Arial" w:hAnsi="Arial" w:cs="Arial"/>
          <w:sz w:val="22"/>
          <w:szCs w:val="22"/>
        </w:rPr>
        <w:t xml:space="preserve">Dwelling mix </w:t>
      </w:r>
      <w:r w:rsidR="007974E2">
        <w:rPr>
          <w:rFonts w:ascii="Arial" w:hAnsi="Arial" w:cs="Arial"/>
          <w:sz w:val="22"/>
          <w:szCs w:val="22"/>
        </w:rPr>
        <w:t xml:space="preserve">and housing choice </w:t>
      </w:r>
      <w:r>
        <w:rPr>
          <w:rFonts w:ascii="Arial" w:hAnsi="Arial" w:cs="Arial"/>
          <w:sz w:val="22"/>
          <w:szCs w:val="22"/>
        </w:rPr>
        <w:t>being achieved across the LGA</w:t>
      </w:r>
    </w:p>
    <w:p w:rsidR="00220E1E" w:rsidRPr="00171D40" w:rsidRDefault="00220E1E" w:rsidP="00D16324">
      <w:pPr>
        <w:pStyle w:val="ListParagraph"/>
        <w:numPr>
          <w:ilvl w:val="0"/>
          <w:numId w:val="30"/>
        </w:numPr>
        <w:pBdr>
          <w:bottom w:val="single" w:sz="4" w:space="1" w:color="auto"/>
        </w:pBdr>
        <w:jc w:val="both"/>
        <w:rPr>
          <w:rFonts w:ascii="Arial" w:hAnsi="Arial" w:cs="Arial"/>
          <w:sz w:val="22"/>
          <w:szCs w:val="22"/>
        </w:rPr>
      </w:pPr>
      <w:r>
        <w:rPr>
          <w:rFonts w:ascii="Arial" w:hAnsi="Arial" w:cs="Arial"/>
          <w:sz w:val="22"/>
          <w:szCs w:val="22"/>
        </w:rPr>
        <w:t>Social wellbeing survey</w:t>
      </w:r>
    </w:p>
    <w:p w:rsidR="008E10E6" w:rsidRDefault="008E10E6" w:rsidP="00D16324">
      <w:pPr>
        <w:pBdr>
          <w:bottom w:val="single" w:sz="4" w:space="1" w:color="auto"/>
        </w:pBdr>
        <w:jc w:val="both"/>
        <w:rPr>
          <w:rFonts w:ascii="Arial" w:hAnsi="Arial" w:cs="Arial"/>
          <w:b/>
          <w:sz w:val="22"/>
          <w:szCs w:val="22"/>
        </w:rPr>
      </w:pPr>
    </w:p>
    <w:p w:rsidR="008E10E6" w:rsidRDefault="008E10E6" w:rsidP="00D16324">
      <w:pPr>
        <w:pBdr>
          <w:bottom w:val="single" w:sz="4" w:space="1" w:color="auto"/>
        </w:pBdr>
        <w:jc w:val="both"/>
        <w:rPr>
          <w:rFonts w:ascii="Arial" w:hAnsi="Arial" w:cs="Arial"/>
          <w:b/>
          <w:sz w:val="22"/>
          <w:szCs w:val="22"/>
        </w:rPr>
      </w:pPr>
    </w:p>
    <w:p w:rsidR="00C45E81" w:rsidRDefault="00C45E81" w:rsidP="006E499F">
      <w:pPr>
        <w:pBdr>
          <w:bottom w:val="single" w:sz="4" w:space="1" w:color="auto"/>
        </w:pBdr>
        <w:rPr>
          <w:rFonts w:ascii="Arial" w:hAnsi="Arial" w:cs="Arial"/>
          <w:b/>
          <w:sz w:val="22"/>
          <w:szCs w:val="22"/>
        </w:rPr>
      </w:pPr>
    </w:p>
    <w:p w:rsidR="00C45E81" w:rsidRDefault="00C45E81" w:rsidP="006E499F">
      <w:pPr>
        <w:pBdr>
          <w:bottom w:val="single" w:sz="4" w:space="1" w:color="auto"/>
        </w:pBdr>
        <w:rPr>
          <w:rFonts w:ascii="Arial" w:hAnsi="Arial" w:cs="Arial"/>
          <w:b/>
          <w:sz w:val="22"/>
          <w:szCs w:val="22"/>
        </w:rPr>
      </w:pPr>
    </w:p>
    <w:p w:rsidR="00C45E81" w:rsidRDefault="00C45E81" w:rsidP="006E499F">
      <w:pPr>
        <w:pBdr>
          <w:bottom w:val="single" w:sz="4" w:space="1" w:color="auto"/>
        </w:pBdr>
        <w:rPr>
          <w:rFonts w:ascii="Arial" w:hAnsi="Arial" w:cs="Arial"/>
          <w:b/>
          <w:sz w:val="22"/>
          <w:szCs w:val="22"/>
        </w:rPr>
      </w:pPr>
    </w:p>
    <w:p w:rsidR="00C45E81" w:rsidRDefault="00C45E81" w:rsidP="006E499F">
      <w:pPr>
        <w:pBdr>
          <w:bottom w:val="single" w:sz="4" w:space="1" w:color="auto"/>
        </w:pBdr>
        <w:rPr>
          <w:rFonts w:ascii="Arial" w:hAnsi="Arial" w:cs="Arial"/>
          <w:b/>
          <w:sz w:val="22"/>
          <w:szCs w:val="22"/>
        </w:rPr>
      </w:pPr>
    </w:p>
    <w:p w:rsidR="00C45E81" w:rsidRDefault="00C45E81" w:rsidP="006E499F">
      <w:pPr>
        <w:pBdr>
          <w:bottom w:val="single" w:sz="4" w:space="1" w:color="auto"/>
        </w:pBdr>
        <w:rPr>
          <w:rFonts w:ascii="Arial" w:hAnsi="Arial" w:cs="Arial"/>
          <w:b/>
          <w:sz w:val="22"/>
          <w:szCs w:val="22"/>
        </w:rPr>
      </w:pPr>
    </w:p>
    <w:p w:rsidR="00C45E81" w:rsidRDefault="00C45E81" w:rsidP="006E499F">
      <w:pPr>
        <w:pBdr>
          <w:bottom w:val="single" w:sz="4" w:space="1" w:color="auto"/>
        </w:pBdr>
        <w:rPr>
          <w:rFonts w:ascii="Arial" w:hAnsi="Arial" w:cs="Arial"/>
          <w:b/>
          <w:sz w:val="22"/>
          <w:szCs w:val="22"/>
        </w:rPr>
      </w:pPr>
    </w:p>
    <w:p w:rsidR="00C45E81" w:rsidRDefault="00C45E81" w:rsidP="006E499F">
      <w:pPr>
        <w:pBdr>
          <w:bottom w:val="single" w:sz="4" w:space="1" w:color="auto"/>
        </w:pBdr>
        <w:rPr>
          <w:rFonts w:ascii="Arial" w:hAnsi="Arial" w:cs="Arial"/>
          <w:b/>
          <w:sz w:val="22"/>
          <w:szCs w:val="22"/>
        </w:rPr>
      </w:pPr>
    </w:p>
    <w:p w:rsidR="00C45E81" w:rsidRDefault="00C45E81" w:rsidP="006E499F">
      <w:pPr>
        <w:pBdr>
          <w:bottom w:val="single" w:sz="4" w:space="1" w:color="auto"/>
        </w:pBdr>
        <w:rPr>
          <w:rFonts w:ascii="Arial" w:hAnsi="Arial" w:cs="Arial"/>
          <w:b/>
          <w:sz w:val="22"/>
          <w:szCs w:val="22"/>
        </w:rPr>
      </w:pPr>
    </w:p>
    <w:p w:rsidR="00C45E81" w:rsidRDefault="00C45E81" w:rsidP="006E499F">
      <w:pPr>
        <w:pBdr>
          <w:bottom w:val="single" w:sz="4" w:space="1" w:color="auto"/>
        </w:pBdr>
        <w:rPr>
          <w:rFonts w:ascii="Arial" w:hAnsi="Arial" w:cs="Arial"/>
          <w:b/>
          <w:sz w:val="22"/>
          <w:szCs w:val="22"/>
        </w:rPr>
      </w:pPr>
    </w:p>
    <w:p w:rsidR="00C45E81" w:rsidRDefault="00C45E81" w:rsidP="006E499F">
      <w:pPr>
        <w:pBdr>
          <w:bottom w:val="single" w:sz="4" w:space="1" w:color="auto"/>
        </w:pBdr>
        <w:rPr>
          <w:rFonts w:ascii="Arial" w:hAnsi="Arial" w:cs="Arial"/>
          <w:b/>
          <w:sz w:val="22"/>
          <w:szCs w:val="22"/>
        </w:rPr>
      </w:pPr>
    </w:p>
    <w:p w:rsidR="00C45E81" w:rsidRDefault="00C45E81" w:rsidP="006E499F">
      <w:pPr>
        <w:pBdr>
          <w:bottom w:val="single" w:sz="4" w:space="1" w:color="auto"/>
        </w:pBdr>
        <w:rPr>
          <w:rFonts w:ascii="Arial" w:hAnsi="Arial" w:cs="Arial"/>
          <w:b/>
          <w:sz w:val="22"/>
          <w:szCs w:val="22"/>
        </w:rPr>
      </w:pPr>
    </w:p>
    <w:p w:rsidR="00C45E81" w:rsidRDefault="00C45E81" w:rsidP="006E499F">
      <w:pPr>
        <w:pBdr>
          <w:bottom w:val="single" w:sz="4" w:space="1" w:color="auto"/>
        </w:pBdr>
        <w:rPr>
          <w:rFonts w:ascii="Arial" w:hAnsi="Arial" w:cs="Arial"/>
          <w:b/>
          <w:sz w:val="22"/>
          <w:szCs w:val="22"/>
        </w:rPr>
      </w:pPr>
    </w:p>
    <w:p w:rsidR="00C45E81" w:rsidRDefault="00C45E81" w:rsidP="006E499F">
      <w:pPr>
        <w:pBdr>
          <w:bottom w:val="single" w:sz="4" w:space="1" w:color="auto"/>
        </w:pBdr>
        <w:rPr>
          <w:rFonts w:ascii="Arial" w:hAnsi="Arial" w:cs="Arial"/>
          <w:b/>
          <w:sz w:val="22"/>
          <w:szCs w:val="22"/>
        </w:rPr>
      </w:pPr>
    </w:p>
    <w:p w:rsidR="00C45E81" w:rsidRDefault="00C45E81" w:rsidP="006E499F">
      <w:pPr>
        <w:pBdr>
          <w:bottom w:val="single" w:sz="4" w:space="1" w:color="auto"/>
        </w:pBdr>
        <w:rPr>
          <w:rFonts w:ascii="Arial" w:hAnsi="Arial" w:cs="Arial"/>
          <w:b/>
          <w:sz w:val="22"/>
          <w:szCs w:val="22"/>
        </w:rPr>
      </w:pPr>
    </w:p>
    <w:p w:rsidR="00C45E81" w:rsidRDefault="00C45E81" w:rsidP="006E499F">
      <w:pPr>
        <w:pBdr>
          <w:bottom w:val="single" w:sz="4" w:space="1" w:color="auto"/>
        </w:pBdr>
        <w:rPr>
          <w:rFonts w:ascii="Arial" w:hAnsi="Arial" w:cs="Arial"/>
          <w:b/>
          <w:sz w:val="22"/>
          <w:szCs w:val="22"/>
        </w:rPr>
      </w:pPr>
    </w:p>
    <w:p w:rsidR="00C45E81" w:rsidRDefault="00C45E81" w:rsidP="006E499F">
      <w:pPr>
        <w:pBdr>
          <w:bottom w:val="single" w:sz="4" w:space="1" w:color="auto"/>
        </w:pBdr>
        <w:rPr>
          <w:rFonts w:ascii="Arial" w:hAnsi="Arial" w:cs="Arial"/>
          <w:b/>
          <w:sz w:val="22"/>
          <w:szCs w:val="22"/>
        </w:rPr>
      </w:pPr>
    </w:p>
    <w:p w:rsidR="00C45E81" w:rsidRDefault="00C45E81" w:rsidP="006E499F">
      <w:pPr>
        <w:pBdr>
          <w:bottom w:val="single" w:sz="4" w:space="1" w:color="auto"/>
        </w:pBdr>
        <w:rPr>
          <w:rFonts w:ascii="Arial" w:hAnsi="Arial" w:cs="Arial"/>
          <w:b/>
          <w:sz w:val="22"/>
          <w:szCs w:val="22"/>
        </w:rPr>
      </w:pPr>
    </w:p>
    <w:p w:rsidR="00C45E81" w:rsidRDefault="00C45E81" w:rsidP="006E499F">
      <w:pPr>
        <w:pBdr>
          <w:bottom w:val="single" w:sz="4" w:space="1" w:color="auto"/>
        </w:pBdr>
        <w:rPr>
          <w:rFonts w:ascii="Arial" w:hAnsi="Arial" w:cs="Arial"/>
          <w:b/>
          <w:sz w:val="22"/>
          <w:szCs w:val="22"/>
        </w:rPr>
      </w:pPr>
    </w:p>
    <w:p w:rsidR="00C45E81" w:rsidRDefault="00C45E81" w:rsidP="006E499F">
      <w:pPr>
        <w:pBdr>
          <w:bottom w:val="single" w:sz="4" w:space="1" w:color="auto"/>
        </w:pBdr>
        <w:rPr>
          <w:rFonts w:ascii="Arial" w:hAnsi="Arial" w:cs="Arial"/>
          <w:b/>
          <w:sz w:val="22"/>
          <w:szCs w:val="22"/>
        </w:rPr>
      </w:pPr>
    </w:p>
    <w:p w:rsidR="00C45E81" w:rsidRDefault="00C45E81" w:rsidP="006E499F">
      <w:pPr>
        <w:pBdr>
          <w:bottom w:val="single" w:sz="4" w:space="1" w:color="auto"/>
        </w:pBdr>
        <w:rPr>
          <w:rFonts w:ascii="Arial" w:hAnsi="Arial" w:cs="Arial"/>
          <w:b/>
          <w:sz w:val="22"/>
          <w:szCs w:val="22"/>
        </w:rPr>
      </w:pPr>
    </w:p>
    <w:p w:rsidR="00C45E81" w:rsidRDefault="00C45E81" w:rsidP="006E499F">
      <w:pPr>
        <w:pBdr>
          <w:bottom w:val="single" w:sz="4" w:space="1" w:color="auto"/>
        </w:pBdr>
        <w:rPr>
          <w:rFonts w:ascii="Arial" w:hAnsi="Arial" w:cs="Arial"/>
          <w:b/>
          <w:sz w:val="22"/>
          <w:szCs w:val="22"/>
        </w:rPr>
      </w:pPr>
    </w:p>
    <w:p w:rsidR="00C45E81" w:rsidRDefault="00C45E81" w:rsidP="006E499F">
      <w:pPr>
        <w:pBdr>
          <w:bottom w:val="single" w:sz="4" w:space="1" w:color="auto"/>
        </w:pBdr>
        <w:rPr>
          <w:rFonts w:ascii="Arial" w:hAnsi="Arial" w:cs="Arial"/>
          <w:b/>
          <w:sz w:val="22"/>
          <w:szCs w:val="22"/>
        </w:rPr>
      </w:pPr>
    </w:p>
    <w:p w:rsidR="00C45E81" w:rsidRDefault="00C45E81" w:rsidP="006E499F">
      <w:pPr>
        <w:pBdr>
          <w:bottom w:val="single" w:sz="4" w:space="1" w:color="auto"/>
        </w:pBdr>
        <w:rPr>
          <w:rFonts w:ascii="Arial" w:hAnsi="Arial" w:cs="Arial"/>
          <w:b/>
          <w:sz w:val="22"/>
          <w:szCs w:val="22"/>
        </w:rPr>
      </w:pPr>
    </w:p>
    <w:p w:rsidR="00C45E81" w:rsidRDefault="00C45E81" w:rsidP="006E499F">
      <w:pPr>
        <w:pBdr>
          <w:bottom w:val="single" w:sz="4" w:space="1" w:color="auto"/>
        </w:pBdr>
        <w:rPr>
          <w:rFonts w:ascii="Arial" w:hAnsi="Arial" w:cs="Arial"/>
          <w:b/>
          <w:sz w:val="22"/>
          <w:szCs w:val="22"/>
        </w:rPr>
      </w:pPr>
    </w:p>
    <w:p w:rsidR="00C45E81" w:rsidRDefault="00C45E81" w:rsidP="006E499F">
      <w:pPr>
        <w:pBdr>
          <w:bottom w:val="single" w:sz="4" w:space="1" w:color="auto"/>
        </w:pBdr>
        <w:rPr>
          <w:rFonts w:ascii="Arial" w:hAnsi="Arial" w:cs="Arial"/>
          <w:b/>
          <w:sz w:val="22"/>
          <w:szCs w:val="22"/>
        </w:rPr>
      </w:pPr>
    </w:p>
    <w:p w:rsidR="00C45E81" w:rsidRDefault="00C45E81" w:rsidP="006E499F">
      <w:pPr>
        <w:pBdr>
          <w:bottom w:val="single" w:sz="4" w:space="1" w:color="auto"/>
        </w:pBdr>
        <w:rPr>
          <w:rFonts w:ascii="Arial" w:hAnsi="Arial" w:cs="Arial"/>
          <w:b/>
          <w:sz w:val="22"/>
          <w:szCs w:val="22"/>
        </w:rPr>
      </w:pPr>
    </w:p>
    <w:p w:rsidR="00C45E81" w:rsidRDefault="00C45E81" w:rsidP="006E499F">
      <w:pPr>
        <w:pBdr>
          <w:bottom w:val="single" w:sz="4" w:space="1" w:color="auto"/>
        </w:pBdr>
        <w:rPr>
          <w:rFonts w:ascii="Arial" w:hAnsi="Arial" w:cs="Arial"/>
          <w:b/>
          <w:sz w:val="22"/>
          <w:szCs w:val="22"/>
        </w:rPr>
      </w:pPr>
    </w:p>
    <w:p w:rsidR="00C45E81" w:rsidRDefault="00C45E81" w:rsidP="006E499F">
      <w:pPr>
        <w:pBdr>
          <w:bottom w:val="single" w:sz="4" w:space="1" w:color="auto"/>
        </w:pBdr>
        <w:rPr>
          <w:rFonts w:ascii="Arial" w:hAnsi="Arial" w:cs="Arial"/>
          <w:b/>
          <w:sz w:val="22"/>
          <w:szCs w:val="22"/>
        </w:rPr>
      </w:pPr>
    </w:p>
    <w:p w:rsidR="00C45E81" w:rsidRDefault="00C45E81" w:rsidP="006E499F">
      <w:pPr>
        <w:pBdr>
          <w:bottom w:val="single" w:sz="4" w:space="1" w:color="auto"/>
        </w:pBdr>
        <w:rPr>
          <w:rFonts w:ascii="Arial" w:hAnsi="Arial" w:cs="Arial"/>
          <w:b/>
          <w:sz w:val="22"/>
          <w:szCs w:val="22"/>
        </w:rPr>
      </w:pPr>
    </w:p>
    <w:p w:rsidR="00C45E81" w:rsidRDefault="00C45E81" w:rsidP="006E499F">
      <w:pPr>
        <w:pBdr>
          <w:bottom w:val="single" w:sz="4" w:space="1" w:color="auto"/>
        </w:pBdr>
        <w:rPr>
          <w:rFonts w:ascii="Arial" w:hAnsi="Arial" w:cs="Arial"/>
          <w:b/>
          <w:sz w:val="22"/>
          <w:szCs w:val="22"/>
        </w:rPr>
      </w:pPr>
    </w:p>
    <w:p w:rsidR="00C45E81" w:rsidRPr="00DB0317" w:rsidRDefault="00C45E81" w:rsidP="006E499F">
      <w:pPr>
        <w:pBdr>
          <w:bottom w:val="single" w:sz="4" w:space="1" w:color="auto"/>
        </w:pBdr>
        <w:rPr>
          <w:rFonts w:ascii="Arial" w:hAnsi="Arial" w:cs="Arial"/>
          <w:b/>
          <w:sz w:val="22"/>
          <w:szCs w:val="22"/>
        </w:rPr>
      </w:pPr>
    </w:p>
    <w:p w:rsidR="006E499F" w:rsidRPr="008E10E6" w:rsidRDefault="006E499F" w:rsidP="00A20897">
      <w:pPr>
        <w:pStyle w:val="ListParagraph"/>
        <w:numPr>
          <w:ilvl w:val="0"/>
          <w:numId w:val="5"/>
        </w:numPr>
        <w:ind w:left="426" w:hanging="426"/>
        <w:rPr>
          <w:rFonts w:ascii="Arial" w:hAnsi="Arial" w:cs="Arial"/>
          <w:b/>
          <w:sz w:val="28"/>
          <w:szCs w:val="22"/>
        </w:rPr>
      </w:pPr>
      <w:r w:rsidRPr="008E10E6">
        <w:rPr>
          <w:rFonts w:ascii="Arial" w:hAnsi="Arial" w:cs="Arial"/>
          <w:b/>
          <w:sz w:val="28"/>
          <w:szCs w:val="22"/>
        </w:rPr>
        <w:lastRenderedPageBreak/>
        <w:t>Definitions</w:t>
      </w:r>
    </w:p>
    <w:p w:rsidR="006E499F" w:rsidRPr="00DB0317" w:rsidRDefault="006E499F" w:rsidP="006E499F">
      <w:pPr>
        <w:pStyle w:val="Default"/>
      </w:pPr>
    </w:p>
    <w:tbl>
      <w:tblPr>
        <w:tblStyle w:val="TableGrid"/>
        <w:tblW w:w="0" w:type="auto"/>
        <w:tblLook w:val="04A0" w:firstRow="1" w:lastRow="0" w:firstColumn="1" w:lastColumn="0" w:noHBand="0" w:noVBand="1"/>
      </w:tblPr>
      <w:tblGrid>
        <w:gridCol w:w="2972"/>
        <w:gridCol w:w="6237"/>
      </w:tblGrid>
      <w:tr w:rsidR="009D7EB6" w:rsidTr="007A5A8D">
        <w:trPr>
          <w:trHeight w:val="477"/>
        </w:trPr>
        <w:tc>
          <w:tcPr>
            <w:tcW w:w="9209" w:type="dxa"/>
            <w:gridSpan w:val="2"/>
          </w:tcPr>
          <w:p w:rsidR="009D7EB6" w:rsidRPr="00074235" w:rsidRDefault="009D7EB6" w:rsidP="006E499F">
            <w:pPr>
              <w:rPr>
                <w:rFonts w:ascii="Arial" w:hAnsi="Arial" w:cs="Arial"/>
                <w:b/>
                <w:sz w:val="22"/>
                <w:szCs w:val="20"/>
              </w:rPr>
            </w:pPr>
            <w:r>
              <w:rPr>
                <w:rFonts w:ascii="Arial" w:hAnsi="Arial" w:cs="Arial"/>
                <w:b/>
                <w:sz w:val="22"/>
                <w:szCs w:val="20"/>
              </w:rPr>
              <w:t>Table 8. Definitions</w:t>
            </w:r>
          </w:p>
        </w:tc>
      </w:tr>
      <w:tr w:rsidR="009D7EB6" w:rsidTr="0088291A">
        <w:tc>
          <w:tcPr>
            <w:tcW w:w="2972" w:type="dxa"/>
          </w:tcPr>
          <w:p w:rsidR="009D7EB6" w:rsidRPr="00074235" w:rsidRDefault="009D7EB6" w:rsidP="009D7EB6">
            <w:pPr>
              <w:rPr>
                <w:rFonts w:ascii="Arial" w:hAnsi="Arial" w:cs="Arial"/>
                <w:b/>
                <w:sz w:val="22"/>
                <w:szCs w:val="20"/>
              </w:rPr>
            </w:pPr>
            <w:r w:rsidRPr="00074235">
              <w:rPr>
                <w:rFonts w:ascii="Arial" w:hAnsi="Arial" w:cs="Arial"/>
                <w:b/>
                <w:sz w:val="22"/>
                <w:szCs w:val="20"/>
              </w:rPr>
              <w:t>Term</w:t>
            </w:r>
          </w:p>
        </w:tc>
        <w:tc>
          <w:tcPr>
            <w:tcW w:w="6237" w:type="dxa"/>
          </w:tcPr>
          <w:p w:rsidR="009D7EB6" w:rsidRPr="00074235" w:rsidRDefault="009D7EB6" w:rsidP="009D7EB6">
            <w:pPr>
              <w:rPr>
                <w:rFonts w:ascii="Arial" w:hAnsi="Arial" w:cs="Arial"/>
                <w:b/>
                <w:sz w:val="22"/>
                <w:szCs w:val="20"/>
              </w:rPr>
            </w:pPr>
            <w:r w:rsidRPr="00074235">
              <w:rPr>
                <w:rFonts w:ascii="Arial" w:hAnsi="Arial" w:cs="Arial"/>
                <w:b/>
                <w:sz w:val="22"/>
                <w:szCs w:val="20"/>
              </w:rPr>
              <w:t>Definition</w:t>
            </w:r>
          </w:p>
        </w:tc>
      </w:tr>
      <w:tr w:rsidR="00074235" w:rsidTr="0088291A">
        <w:tc>
          <w:tcPr>
            <w:tcW w:w="2972" w:type="dxa"/>
          </w:tcPr>
          <w:p w:rsidR="00074235" w:rsidRDefault="00074235" w:rsidP="006E499F">
            <w:pPr>
              <w:rPr>
                <w:rFonts w:ascii="Arial" w:hAnsi="Arial" w:cs="Arial"/>
                <w:sz w:val="22"/>
                <w:szCs w:val="20"/>
              </w:rPr>
            </w:pPr>
            <w:r>
              <w:rPr>
                <w:rFonts w:ascii="Arial" w:hAnsi="Arial" w:cs="Arial"/>
                <w:sz w:val="22"/>
                <w:szCs w:val="20"/>
              </w:rPr>
              <w:t>Housing stress</w:t>
            </w:r>
          </w:p>
        </w:tc>
        <w:tc>
          <w:tcPr>
            <w:tcW w:w="6237" w:type="dxa"/>
          </w:tcPr>
          <w:p w:rsidR="00074235" w:rsidRDefault="00074235" w:rsidP="006E499F">
            <w:pPr>
              <w:rPr>
                <w:rFonts w:ascii="Arial" w:hAnsi="Arial" w:cs="Arial"/>
                <w:sz w:val="22"/>
                <w:szCs w:val="20"/>
              </w:rPr>
            </w:pPr>
            <w:r>
              <w:rPr>
                <w:rFonts w:ascii="Arial" w:hAnsi="Arial" w:cs="Arial"/>
                <w:sz w:val="22"/>
                <w:szCs w:val="20"/>
              </w:rPr>
              <w:t xml:space="preserve">A household is said to be in housing stress when it is paying more than 30% of its gross income on housing costs, and is also in the bottom 40% of national </w:t>
            </w:r>
            <w:proofErr w:type="spellStart"/>
            <w:r>
              <w:rPr>
                <w:rFonts w:ascii="Arial" w:hAnsi="Arial" w:cs="Arial"/>
                <w:sz w:val="22"/>
                <w:szCs w:val="20"/>
              </w:rPr>
              <w:t>equivalised</w:t>
            </w:r>
            <w:proofErr w:type="spellEnd"/>
            <w:r>
              <w:rPr>
                <w:rFonts w:ascii="Arial" w:hAnsi="Arial" w:cs="Arial"/>
                <w:sz w:val="22"/>
                <w:szCs w:val="20"/>
              </w:rPr>
              <w:t xml:space="preserve"> incomes.</w:t>
            </w:r>
          </w:p>
          <w:p w:rsidR="00125AF5" w:rsidRDefault="00125AF5" w:rsidP="006E499F">
            <w:pPr>
              <w:rPr>
                <w:rFonts w:ascii="Arial" w:hAnsi="Arial" w:cs="Arial"/>
                <w:sz w:val="22"/>
                <w:szCs w:val="20"/>
              </w:rPr>
            </w:pPr>
          </w:p>
        </w:tc>
      </w:tr>
      <w:tr w:rsidR="00074235" w:rsidTr="0088291A">
        <w:tc>
          <w:tcPr>
            <w:tcW w:w="2972" w:type="dxa"/>
          </w:tcPr>
          <w:p w:rsidR="00074235" w:rsidRDefault="00074235" w:rsidP="006E499F">
            <w:pPr>
              <w:rPr>
                <w:rFonts w:ascii="Arial" w:hAnsi="Arial" w:cs="Arial"/>
                <w:sz w:val="22"/>
                <w:szCs w:val="20"/>
              </w:rPr>
            </w:pPr>
            <w:r>
              <w:rPr>
                <w:rFonts w:ascii="Arial" w:hAnsi="Arial" w:cs="Arial"/>
                <w:sz w:val="22"/>
                <w:szCs w:val="20"/>
              </w:rPr>
              <w:t>Rental stress</w:t>
            </w:r>
          </w:p>
        </w:tc>
        <w:tc>
          <w:tcPr>
            <w:tcW w:w="6237" w:type="dxa"/>
          </w:tcPr>
          <w:p w:rsidR="00074235" w:rsidRDefault="00E91FAB" w:rsidP="00761307">
            <w:pPr>
              <w:rPr>
                <w:rFonts w:ascii="Arial" w:hAnsi="Arial" w:cs="Arial"/>
                <w:sz w:val="22"/>
                <w:szCs w:val="20"/>
              </w:rPr>
            </w:pPr>
            <w:r>
              <w:rPr>
                <w:rFonts w:ascii="Arial" w:hAnsi="Arial" w:cs="Arial"/>
                <w:sz w:val="22"/>
                <w:szCs w:val="20"/>
              </w:rPr>
              <w:t>The state of</w:t>
            </w:r>
            <w:r w:rsidR="00074235">
              <w:rPr>
                <w:rFonts w:ascii="Arial" w:hAnsi="Arial" w:cs="Arial"/>
                <w:sz w:val="22"/>
                <w:szCs w:val="20"/>
              </w:rPr>
              <w:t xml:space="preserve"> households </w:t>
            </w:r>
            <w:r w:rsidR="00761307">
              <w:rPr>
                <w:rFonts w:ascii="Arial" w:hAnsi="Arial" w:cs="Arial"/>
                <w:sz w:val="22"/>
                <w:szCs w:val="20"/>
              </w:rPr>
              <w:t xml:space="preserve">who are paying more than 30% of their gross income on </w:t>
            </w:r>
            <w:r w:rsidR="00761307" w:rsidRPr="00761307">
              <w:rPr>
                <w:rFonts w:ascii="Arial" w:hAnsi="Arial" w:cs="Arial"/>
                <w:sz w:val="22"/>
                <w:szCs w:val="20"/>
                <w:u w:val="single"/>
              </w:rPr>
              <w:t>rent</w:t>
            </w:r>
            <w:r>
              <w:rPr>
                <w:rFonts w:ascii="Arial" w:hAnsi="Arial" w:cs="Arial"/>
                <w:sz w:val="22"/>
                <w:szCs w:val="20"/>
              </w:rPr>
              <w:t>, and are</w:t>
            </w:r>
            <w:r w:rsidR="00761307">
              <w:rPr>
                <w:rFonts w:ascii="Arial" w:hAnsi="Arial" w:cs="Arial"/>
                <w:sz w:val="22"/>
                <w:szCs w:val="20"/>
              </w:rPr>
              <w:t xml:space="preserve"> also in the bottom 40% of national </w:t>
            </w:r>
            <w:proofErr w:type="spellStart"/>
            <w:r w:rsidR="00761307">
              <w:rPr>
                <w:rFonts w:ascii="Arial" w:hAnsi="Arial" w:cs="Arial"/>
                <w:sz w:val="22"/>
                <w:szCs w:val="20"/>
              </w:rPr>
              <w:t>equivalised</w:t>
            </w:r>
            <w:proofErr w:type="spellEnd"/>
            <w:r w:rsidR="00761307">
              <w:rPr>
                <w:rFonts w:ascii="Arial" w:hAnsi="Arial" w:cs="Arial"/>
                <w:sz w:val="22"/>
                <w:szCs w:val="20"/>
              </w:rPr>
              <w:t xml:space="preserve"> incomes</w:t>
            </w:r>
            <w:r>
              <w:rPr>
                <w:rFonts w:ascii="Arial" w:hAnsi="Arial" w:cs="Arial"/>
                <w:sz w:val="22"/>
                <w:szCs w:val="20"/>
              </w:rPr>
              <w:t>.</w:t>
            </w:r>
          </w:p>
          <w:p w:rsidR="00125AF5" w:rsidRDefault="00125AF5" w:rsidP="00761307">
            <w:pPr>
              <w:rPr>
                <w:rFonts w:ascii="Arial" w:hAnsi="Arial" w:cs="Arial"/>
                <w:sz w:val="22"/>
                <w:szCs w:val="20"/>
              </w:rPr>
            </w:pPr>
          </w:p>
        </w:tc>
      </w:tr>
      <w:tr w:rsidR="00074235" w:rsidTr="0088291A">
        <w:tc>
          <w:tcPr>
            <w:tcW w:w="2972" w:type="dxa"/>
          </w:tcPr>
          <w:p w:rsidR="00074235" w:rsidRDefault="00074235" w:rsidP="006E499F">
            <w:pPr>
              <w:rPr>
                <w:rFonts w:ascii="Arial" w:hAnsi="Arial" w:cs="Arial"/>
                <w:sz w:val="22"/>
                <w:szCs w:val="20"/>
              </w:rPr>
            </w:pPr>
            <w:r>
              <w:rPr>
                <w:rFonts w:ascii="Arial" w:hAnsi="Arial" w:cs="Arial"/>
                <w:sz w:val="22"/>
                <w:szCs w:val="20"/>
              </w:rPr>
              <w:t>Mortgage stress</w:t>
            </w:r>
          </w:p>
        </w:tc>
        <w:tc>
          <w:tcPr>
            <w:tcW w:w="6237" w:type="dxa"/>
          </w:tcPr>
          <w:p w:rsidR="00074235" w:rsidRDefault="00761307" w:rsidP="00E91FAB">
            <w:pPr>
              <w:rPr>
                <w:rFonts w:ascii="Arial" w:hAnsi="Arial" w:cs="Arial"/>
                <w:sz w:val="22"/>
                <w:szCs w:val="20"/>
              </w:rPr>
            </w:pPr>
            <w:r>
              <w:rPr>
                <w:rFonts w:ascii="Arial" w:hAnsi="Arial" w:cs="Arial"/>
                <w:sz w:val="22"/>
                <w:szCs w:val="20"/>
              </w:rPr>
              <w:t>Th</w:t>
            </w:r>
            <w:r w:rsidR="00E91FAB">
              <w:rPr>
                <w:rFonts w:ascii="Arial" w:hAnsi="Arial" w:cs="Arial"/>
                <w:sz w:val="22"/>
                <w:szCs w:val="20"/>
              </w:rPr>
              <w:t>e state of</w:t>
            </w:r>
            <w:r>
              <w:rPr>
                <w:rFonts w:ascii="Arial" w:hAnsi="Arial" w:cs="Arial"/>
                <w:sz w:val="22"/>
                <w:szCs w:val="20"/>
              </w:rPr>
              <w:t xml:space="preserve"> households who are paying more than 30% of their gross income on </w:t>
            </w:r>
            <w:r w:rsidRPr="00761307">
              <w:rPr>
                <w:rFonts w:ascii="Arial" w:hAnsi="Arial" w:cs="Arial"/>
                <w:sz w:val="22"/>
                <w:szCs w:val="20"/>
                <w:u w:val="single"/>
              </w:rPr>
              <w:t>mortgage payments</w:t>
            </w:r>
            <w:r w:rsidR="00E91FAB">
              <w:rPr>
                <w:rFonts w:ascii="Arial" w:hAnsi="Arial" w:cs="Arial"/>
                <w:sz w:val="22"/>
                <w:szCs w:val="20"/>
              </w:rPr>
              <w:t>, and are</w:t>
            </w:r>
            <w:r>
              <w:rPr>
                <w:rFonts w:ascii="Arial" w:hAnsi="Arial" w:cs="Arial"/>
                <w:sz w:val="22"/>
                <w:szCs w:val="20"/>
              </w:rPr>
              <w:t xml:space="preserve"> also in the bottom 40% of national </w:t>
            </w:r>
            <w:proofErr w:type="spellStart"/>
            <w:r>
              <w:rPr>
                <w:rFonts w:ascii="Arial" w:hAnsi="Arial" w:cs="Arial"/>
                <w:sz w:val="22"/>
                <w:szCs w:val="20"/>
              </w:rPr>
              <w:t>equivalised</w:t>
            </w:r>
            <w:proofErr w:type="spellEnd"/>
            <w:r>
              <w:rPr>
                <w:rFonts w:ascii="Arial" w:hAnsi="Arial" w:cs="Arial"/>
                <w:sz w:val="22"/>
                <w:szCs w:val="20"/>
              </w:rPr>
              <w:t xml:space="preserve"> incomes</w:t>
            </w:r>
            <w:r w:rsidR="00E91FAB">
              <w:rPr>
                <w:rFonts w:ascii="Arial" w:hAnsi="Arial" w:cs="Arial"/>
                <w:sz w:val="22"/>
                <w:szCs w:val="20"/>
              </w:rPr>
              <w:t>.</w:t>
            </w:r>
          </w:p>
          <w:p w:rsidR="00125AF5" w:rsidRDefault="00125AF5" w:rsidP="00E91FAB">
            <w:pPr>
              <w:rPr>
                <w:rFonts w:ascii="Arial" w:hAnsi="Arial" w:cs="Arial"/>
                <w:sz w:val="22"/>
                <w:szCs w:val="20"/>
              </w:rPr>
            </w:pPr>
          </w:p>
        </w:tc>
      </w:tr>
      <w:tr w:rsidR="00434BCE" w:rsidTr="0088291A">
        <w:tc>
          <w:tcPr>
            <w:tcW w:w="2972" w:type="dxa"/>
          </w:tcPr>
          <w:p w:rsidR="00434BCE" w:rsidRDefault="00434BCE" w:rsidP="00434BCE">
            <w:pPr>
              <w:rPr>
                <w:rFonts w:ascii="Arial" w:hAnsi="Arial" w:cs="Arial"/>
                <w:sz w:val="22"/>
                <w:szCs w:val="20"/>
              </w:rPr>
            </w:pPr>
            <w:r>
              <w:rPr>
                <w:rFonts w:ascii="Arial" w:hAnsi="Arial" w:cs="Arial"/>
                <w:sz w:val="22"/>
                <w:szCs w:val="20"/>
              </w:rPr>
              <w:t>Key Workers</w:t>
            </w:r>
          </w:p>
          <w:p w:rsidR="00434BCE" w:rsidRDefault="00434BCE" w:rsidP="00434BCE">
            <w:pPr>
              <w:rPr>
                <w:rFonts w:ascii="Arial" w:hAnsi="Arial" w:cs="Arial"/>
                <w:sz w:val="22"/>
                <w:szCs w:val="20"/>
              </w:rPr>
            </w:pPr>
          </w:p>
          <w:p w:rsidR="00434BCE" w:rsidRDefault="00434BCE" w:rsidP="00434BCE">
            <w:pPr>
              <w:rPr>
                <w:rFonts w:ascii="Arial" w:hAnsi="Arial" w:cs="Arial"/>
                <w:sz w:val="22"/>
                <w:szCs w:val="20"/>
              </w:rPr>
            </w:pPr>
          </w:p>
        </w:tc>
        <w:tc>
          <w:tcPr>
            <w:tcW w:w="6237" w:type="dxa"/>
          </w:tcPr>
          <w:p w:rsidR="00434BCE" w:rsidRDefault="00434BCE" w:rsidP="00434BCE">
            <w:pPr>
              <w:rPr>
                <w:rFonts w:ascii="Arial" w:hAnsi="Arial" w:cs="Arial"/>
                <w:sz w:val="22"/>
                <w:szCs w:val="22"/>
              </w:rPr>
            </w:pPr>
            <w:r w:rsidRPr="00434BCE">
              <w:rPr>
                <w:rFonts w:ascii="Arial" w:hAnsi="Arial" w:cs="Arial"/>
                <w:sz w:val="22"/>
                <w:szCs w:val="22"/>
              </w:rPr>
              <w:t xml:space="preserve">Key workers are those workers who are employed in roles essential to the functioning of a city. While there is no </w:t>
            </w:r>
            <w:r>
              <w:rPr>
                <w:rFonts w:ascii="Arial" w:hAnsi="Arial" w:cs="Arial"/>
                <w:sz w:val="22"/>
                <w:szCs w:val="22"/>
              </w:rPr>
              <w:t>universal</w:t>
            </w:r>
            <w:r w:rsidRPr="00434BCE">
              <w:rPr>
                <w:rFonts w:ascii="Arial" w:hAnsi="Arial" w:cs="Arial"/>
                <w:sz w:val="22"/>
                <w:szCs w:val="22"/>
              </w:rPr>
              <w:t xml:space="preserve"> definition of the term, key workers typically include police, fire fighters, teachers, childcare </w:t>
            </w:r>
            <w:r>
              <w:rPr>
                <w:rFonts w:ascii="Arial" w:hAnsi="Arial" w:cs="Arial"/>
                <w:sz w:val="22"/>
                <w:szCs w:val="22"/>
              </w:rPr>
              <w:t>workers and other employee groups who undertake work considered essential for the day-to-day functioning of a city, and</w:t>
            </w:r>
            <w:r w:rsidRPr="00434BCE">
              <w:rPr>
                <w:rFonts w:ascii="Arial" w:hAnsi="Arial" w:cs="Arial"/>
                <w:sz w:val="22"/>
                <w:szCs w:val="22"/>
              </w:rPr>
              <w:t xml:space="preserve"> who are </w:t>
            </w:r>
            <w:r>
              <w:rPr>
                <w:rFonts w:ascii="Arial" w:hAnsi="Arial" w:cs="Arial"/>
                <w:sz w:val="22"/>
                <w:szCs w:val="22"/>
              </w:rPr>
              <w:t>typically paid low to moderate salaries.</w:t>
            </w:r>
          </w:p>
          <w:p w:rsidR="00125AF5" w:rsidRPr="00434BCE" w:rsidRDefault="00125AF5" w:rsidP="00434BCE">
            <w:pPr>
              <w:rPr>
                <w:rFonts w:ascii="Arial" w:hAnsi="Arial" w:cs="Arial"/>
                <w:sz w:val="22"/>
                <w:szCs w:val="22"/>
              </w:rPr>
            </w:pPr>
          </w:p>
        </w:tc>
      </w:tr>
      <w:tr w:rsidR="009045BC" w:rsidTr="0088291A">
        <w:tc>
          <w:tcPr>
            <w:tcW w:w="2972" w:type="dxa"/>
          </w:tcPr>
          <w:p w:rsidR="009045BC" w:rsidRDefault="009045BC" w:rsidP="00434BCE">
            <w:pPr>
              <w:rPr>
                <w:rFonts w:ascii="Arial" w:hAnsi="Arial" w:cs="Arial"/>
                <w:sz w:val="22"/>
                <w:szCs w:val="20"/>
              </w:rPr>
            </w:pPr>
            <w:r>
              <w:rPr>
                <w:rFonts w:ascii="Arial" w:hAnsi="Arial" w:cs="Arial"/>
                <w:sz w:val="22"/>
                <w:szCs w:val="20"/>
              </w:rPr>
              <w:t>Very low income earner</w:t>
            </w:r>
          </w:p>
          <w:p w:rsidR="009045BC" w:rsidRDefault="009045BC" w:rsidP="00434BCE">
            <w:pPr>
              <w:rPr>
                <w:rFonts w:ascii="Arial" w:hAnsi="Arial" w:cs="Arial"/>
                <w:sz w:val="22"/>
                <w:szCs w:val="20"/>
              </w:rPr>
            </w:pPr>
          </w:p>
        </w:tc>
        <w:tc>
          <w:tcPr>
            <w:tcW w:w="6237" w:type="dxa"/>
          </w:tcPr>
          <w:p w:rsidR="009045BC" w:rsidRDefault="00125AF5" w:rsidP="00434BCE">
            <w:pPr>
              <w:rPr>
                <w:rFonts w:ascii="Arial" w:hAnsi="Arial" w:cs="Arial"/>
                <w:sz w:val="22"/>
                <w:szCs w:val="22"/>
              </w:rPr>
            </w:pPr>
            <w:r>
              <w:rPr>
                <w:rFonts w:ascii="Arial" w:hAnsi="Arial" w:cs="Arial"/>
                <w:sz w:val="22"/>
                <w:szCs w:val="22"/>
              </w:rPr>
              <w:t>Those people whose gross income equates to 50% or less of the median Sydney income level. At 2016-17, this equates to $42,300 or less per annum.</w:t>
            </w:r>
          </w:p>
          <w:p w:rsidR="00125AF5" w:rsidRPr="00434BCE" w:rsidRDefault="00125AF5" w:rsidP="00434BCE">
            <w:pPr>
              <w:rPr>
                <w:rFonts w:ascii="Arial" w:hAnsi="Arial" w:cs="Arial"/>
                <w:sz w:val="22"/>
                <w:szCs w:val="22"/>
              </w:rPr>
            </w:pPr>
          </w:p>
        </w:tc>
      </w:tr>
      <w:tr w:rsidR="009045BC" w:rsidTr="0088291A">
        <w:tc>
          <w:tcPr>
            <w:tcW w:w="2972" w:type="dxa"/>
          </w:tcPr>
          <w:p w:rsidR="009045BC" w:rsidRDefault="009045BC" w:rsidP="00434BCE">
            <w:pPr>
              <w:rPr>
                <w:rFonts w:ascii="Arial" w:hAnsi="Arial" w:cs="Arial"/>
                <w:sz w:val="22"/>
                <w:szCs w:val="20"/>
              </w:rPr>
            </w:pPr>
            <w:r>
              <w:rPr>
                <w:rFonts w:ascii="Arial" w:hAnsi="Arial" w:cs="Arial"/>
                <w:sz w:val="22"/>
                <w:szCs w:val="20"/>
              </w:rPr>
              <w:t>Low income earner</w:t>
            </w:r>
          </w:p>
        </w:tc>
        <w:tc>
          <w:tcPr>
            <w:tcW w:w="6237" w:type="dxa"/>
          </w:tcPr>
          <w:p w:rsidR="009045BC" w:rsidRDefault="00125AF5" w:rsidP="00434BCE">
            <w:pPr>
              <w:rPr>
                <w:rFonts w:ascii="Arial" w:hAnsi="Arial" w:cs="Arial"/>
                <w:sz w:val="22"/>
                <w:szCs w:val="22"/>
              </w:rPr>
            </w:pPr>
            <w:r>
              <w:rPr>
                <w:rFonts w:ascii="Arial" w:hAnsi="Arial" w:cs="Arial"/>
                <w:sz w:val="22"/>
                <w:szCs w:val="22"/>
              </w:rPr>
              <w:t>Those people whose gross income equates to between 51 and 80% of the median Sydney income level. At 2016-17, this is up to $67,600.</w:t>
            </w:r>
          </w:p>
          <w:p w:rsidR="009045BC" w:rsidRPr="00434BCE" w:rsidRDefault="009045BC" w:rsidP="00434BCE">
            <w:pPr>
              <w:rPr>
                <w:rFonts w:ascii="Arial" w:hAnsi="Arial" w:cs="Arial"/>
                <w:sz w:val="22"/>
                <w:szCs w:val="22"/>
              </w:rPr>
            </w:pPr>
          </w:p>
        </w:tc>
      </w:tr>
      <w:tr w:rsidR="009045BC" w:rsidTr="0088291A">
        <w:tc>
          <w:tcPr>
            <w:tcW w:w="2972" w:type="dxa"/>
          </w:tcPr>
          <w:p w:rsidR="009045BC" w:rsidRDefault="009045BC" w:rsidP="00434BCE">
            <w:pPr>
              <w:rPr>
                <w:rFonts w:ascii="Arial" w:hAnsi="Arial" w:cs="Arial"/>
                <w:sz w:val="22"/>
                <w:szCs w:val="20"/>
              </w:rPr>
            </w:pPr>
            <w:r>
              <w:rPr>
                <w:rFonts w:ascii="Arial" w:hAnsi="Arial" w:cs="Arial"/>
                <w:sz w:val="22"/>
                <w:szCs w:val="20"/>
              </w:rPr>
              <w:t>Moderate income earner</w:t>
            </w:r>
          </w:p>
        </w:tc>
        <w:tc>
          <w:tcPr>
            <w:tcW w:w="6237" w:type="dxa"/>
          </w:tcPr>
          <w:p w:rsidR="00125AF5" w:rsidRDefault="00125AF5" w:rsidP="00125AF5">
            <w:pPr>
              <w:rPr>
                <w:rFonts w:ascii="Arial" w:hAnsi="Arial" w:cs="Arial"/>
                <w:sz w:val="22"/>
                <w:szCs w:val="22"/>
              </w:rPr>
            </w:pPr>
            <w:r>
              <w:rPr>
                <w:rFonts w:ascii="Arial" w:hAnsi="Arial" w:cs="Arial"/>
                <w:sz w:val="22"/>
                <w:szCs w:val="22"/>
              </w:rPr>
              <w:t>Those people whose gross income equates to between 81 and 120% of the median Sydney income level. At 2016-17, this is up to $101,520.</w:t>
            </w:r>
          </w:p>
          <w:p w:rsidR="009045BC" w:rsidRPr="00434BCE" w:rsidRDefault="009045BC" w:rsidP="00434BCE">
            <w:pPr>
              <w:rPr>
                <w:rFonts w:ascii="Arial" w:hAnsi="Arial" w:cs="Arial"/>
                <w:sz w:val="22"/>
                <w:szCs w:val="22"/>
              </w:rPr>
            </w:pPr>
          </w:p>
        </w:tc>
      </w:tr>
    </w:tbl>
    <w:p w:rsidR="008E10E6" w:rsidRDefault="008E10E6" w:rsidP="006E499F">
      <w:pPr>
        <w:rPr>
          <w:rFonts w:ascii="Arial" w:hAnsi="Arial" w:cs="Arial"/>
          <w:sz w:val="22"/>
          <w:szCs w:val="20"/>
        </w:rPr>
      </w:pPr>
    </w:p>
    <w:p w:rsidR="009D7EB6" w:rsidRDefault="009D7EB6" w:rsidP="006E499F">
      <w:pPr>
        <w:rPr>
          <w:rFonts w:ascii="Arial" w:hAnsi="Arial" w:cs="Arial"/>
          <w:sz w:val="22"/>
          <w:szCs w:val="20"/>
        </w:rPr>
      </w:pPr>
    </w:p>
    <w:p w:rsidR="009D7EB6" w:rsidRDefault="009D7EB6" w:rsidP="006E499F">
      <w:pPr>
        <w:rPr>
          <w:rFonts w:ascii="Arial" w:hAnsi="Arial" w:cs="Arial"/>
          <w:sz w:val="22"/>
          <w:szCs w:val="20"/>
        </w:rPr>
      </w:pPr>
    </w:p>
    <w:p w:rsidR="009D7EB6" w:rsidRDefault="009D7EB6" w:rsidP="006E499F">
      <w:pPr>
        <w:rPr>
          <w:rFonts w:ascii="Arial" w:hAnsi="Arial" w:cs="Arial"/>
          <w:sz w:val="22"/>
          <w:szCs w:val="20"/>
        </w:rPr>
      </w:pPr>
    </w:p>
    <w:p w:rsidR="009D7EB6" w:rsidRDefault="009D7EB6" w:rsidP="006E499F">
      <w:pPr>
        <w:rPr>
          <w:rFonts w:ascii="Arial" w:hAnsi="Arial" w:cs="Arial"/>
          <w:sz w:val="22"/>
          <w:szCs w:val="20"/>
        </w:rPr>
      </w:pPr>
    </w:p>
    <w:p w:rsidR="009D7EB6" w:rsidRDefault="009D7EB6" w:rsidP="006E499F">
      <w:pPr>
        <w:rPr>
          <w:rFonts w:ascii="Arial" w:hAnsi="Arial" w:cs="Arial"/>
          <w:sz w:val="22"/>
          <w:szCs w:val="20"/>
        </w:rPr>
      </w:pPr>
    </w:p>
    <w:p w:rsidR="006E499F" w:rsidRDefault="00546516" w:rsidP="00D16324">
      <w:pPr>
        <w:jc w:val="both"/>
        <w:rPr>
          <w:rFonts w:ascii="Arial" w:hAnsi="Arial" w:cs="Arial"/>
          <w:sz w:val="22"/>
          <w:szCs w:val="20"/>
        </w:rPr>
      </w:pPr>
      <w:r w:rsidRPr="00546516">
        <w:rPr>
          <w:rFonts w:ascii="Arial" w:hAnsi="Arial" w:cs="Arial"/>
          <w:sz w:val="22"/>
          <w:szCs w:val="20"/>
        </w:rPr>
        <w:lastRenderedPageBreak/>
        <w:t>There are several key types of affordable housing</w:t>
      </w:r>
      <w:r>
        <w:rPr>
          <w:rFonts w:ascii="Arial" w:hAnsi="Arial" w:cs="Arial"/>
          <w:sz w:val="22"/>
          <w:szCs w:val="20"/>
        </w:rPr>
        <w:t xml:space="preserve">. The Policy is primarily concerned with addressing the deficiency of affordable rental housing. </w:t>
      </w:r>
    </w:p>
    <w:p w:rsidR="00546516" w:rsidRDefault="00546516" w:rsidP="006E499F">
      <w:pPr>
        <w:rPr>
          <w:rFonts w:ascii="Arial" w:hAnsi="Arial" w:cs="Arial"/>
          <w:sz w:val="22"/>
          <w:szCs w:val="20"/>
        </w:rPr>
      </w:pPr>
    </w:p>
    <w:tbl>
      <w:tblPr>
        <w:tblStyle w:val="TableGrid"/>
        <w:tblW w:w="0" w:type="auto"/>
        <w:tblLook w:val="04A0" w:firstRow="1" w:lastRow="0" w:firstColumn="1" w:lastColumn="0" w:noHBand="0" w:noVBand="1"/>
      </w:tblPr>
      <w:tblGrid>
        <w:gridCol w:w="1555"/>
        <w:gridCol w:w="2835"/>
        <w:gridCol w:w="2409"/>
        <w:gridCol w:w="2410"/>
      </w:tblGrid>
      <w:tr w:rsidR="009D7EB6" w:rsidRPr="002F5A9E" w:rsidTr="009D7EB6">
        <w:trPr>
          <w:trHeight w:val="464"/>
        </w:trPr>
        <w:tc>
          <w:tcPr>
            <w:tcW w:w="9209" w:type="dxa"/>
            <w:gridSpan w:val="4"/>
          </w:tcPr>
          <w:p w:rsidR="009D7EB6" w:rsidRPr="002F5A9E" w:rsidRDefault="009D7EB6" w:rsidP="006E499F">
            <w:pPr>
              <w:rPr>
                <w:rFonts w:ascii="Arial" w:hAnsi="Arial" w:cs="Arial"/>
                <w:b/>
                <w:sz w:val="22"/>
                <w:szCs w:val="20"/>
              </w:rPr>
            </w:pPr>
            <w:r>
              <w:rPr>
                <w:rFonts w:ascii="Arial" w:hAnsi="Arial" w:cs="Arial"/>
                <w:b/>
                <w:sz w:val="22"/>
                <w:szCs w:val="20"/>
              </w:rPr>
              <w:t>Table 9. Affordable Housing Definitions</w:t>
            </w:r>
          </w:p>
        </w:tc>
      </w:tr>
      <w:tr w:rsidR="009D7EB6" w:rsidRPr="002F5A9E" w:rsidTr="0088291A">
        <w:tc>
          <w:tcPr>
            <w:tcW w:w="1555" w:type="dxa"/>
          </w:tcPr>
          <w:p w:rsidR="009D7EB6" w:rsidRPr="002F5A9E" w:rsidRDefault="009D7EB6" w:rsidP="009D7EB6">
            <w:pPr>
              <w:rPr>
                <w:rFonts w:ascii="Arial" w:hAnsi="Arial" w:cs="Arial"/>
                <w:b/>
                <w:sz w:val="22"/>
                <w:szCs w:val="20"/>
              </w:rPr>
            </w:pPr>
            <w:r w:rsidRPr="002F5A9E">
              <w:rPr>
                <w:rFonts w:ascii="Arial" w:hAnsi="Arial" w:cs="Arial"/>
                <w:b/>
                <w:sz w:val="22"/>
                <w:szCs w:val="20"/>
              </w:rPr>
              <w:t>Type</w:t>
            </w:r>
          </w:p>
        </w:tc>
        <w:tc>
          <w:tcPr>
            <w:tcW w:w="2835" w:type="dxa"/>
          </w:tcPr>
          <w:p w:rsidR="009D7EB6" w:rsidRPr="002F5A9E" w:rsidRDefault="009D7EB6" w:rsidP="009D7EB6">
            <w:pPr>
              <w:rPr>
                <w:rFonts w:ascii="Arial" w:hAnsi="Arial" w:cs="Arial"/>
                <w:b/>
                <w:sz w:val="22"/>
                <w:szCs w:val="20"/>
              </w:rPr>
            </w:pPr>
            <w:r w:rsidRPr="002F5A9E">
              <w:rPr>
                <w:rFonts w:ascii="Arial" w:hAnsi="Arial" w:cs="Arial"/>
                <w:b/>
                <w:sz w:val="22"/>
                <w:szCs w:val="20"/>
              </w:rPr>
              <w:t>What is it</w:t>
            </w:r>
          </w:p>
        </w:tc>
        <w:tc>
          <w:tcPr>
            <w:tcW w:w="2409" w:type="dxa"/>
          </w:tcPr>
          <w:p w:rsidR="009D7EB6" w:rsidRPr="002F5A9E" w:rsidRDefault="009D7EB6" w:rsidP="009D7EB6">
            <w:pPr>
              <w:rPr>
                <w:rFonts w:ascii="Arial" w:hAnsi="Arial" w:cs="Arial"/>
                <w:b/>
                <w:sz w:val="22"/>
                <w:szCs w:val="20"/>
              </w:rPr>
            </w:pPr>
            <w:r w:rsidRPr="002F5A9E">
              <w:rPr>
                <w:rFonts w:ascii="Arial" w:hAnsi="Arial" w:cs="Arial"/>
                <w:b/>
                <w:sz w:val="22"/>
                <w:szCs w:val="20"/>
              </w:rPr>
              <w:t>Who does it target</w:t>
            </w:r>
          </w:p>
        </w:tc>
        <w:tc>
          <w:tcPr>
            <w:tcW w:w="2410" w:type="dxa"/>
          </w:tcPr>
          <w:p w:rsidR="009D7EB6" w:rsidRPr="002F5A9E" w:rsidRDefault="009D7EB6" w:rsidP="009D7EB6">
            <w:pPr>
              <w:rPr>
                <w:rFonts w:ascii="Arial" w:hAnsi="Arial" w:cs="Arial"/>
                <w:b/>
                <w:sz w:val="22"/>
                <w:szCs w:val="20"/>
              </w:rPr>
            </w:pPr>
            <w:r w:rsidRPr="002F5A9E">
              <w:rPr>
                <w:rFonts w:ascii="Arial" w:hAnsi="Arial" w:cs="Arial"/>
                <w:b/>
                <w:sz w:val="22"/>
                <w:szCs w:val="20"/>
              </w:rPr>
              <w:t>Who provides it?</w:t>
            </w:r>
          </w:p>
        </w:tc>
      </w:tr>
      <w:tr w:rsidR="00546516" w:rsidTr="0088291A">
        <w:tc>
          <w:tcPr>
            <w:tcW w:w="1555" w:type="dxa"/>
          </w:tcPr>
          <w:p w:rsidR="00546516" w:rsidRPr="008C61AE" w:rsidRDefault="00546516" w:rsidP="006E499F">
            <w:pPr>
              <w:rPr>
                <w:rFonts w:ascii="Arial" w:hAnsi="Arial" w:cs="Arial"/>
                <w:sz w:val="20"/>
                <w:szCs w:val="20"/>
              </w:rPr>
            </w:pPr>
            <w:r w:rsidRPr="008C61AE">
              <w:rPr>
                <w:rFonts w:ascii="Arial" w:hAnsi="Arial" w:cs="Arial"/>
                <w:sz w:val="20"/>
                <w:szCs w:val="20"/>
              </w:rPr>
              <w:t>Affordable housing</w:t>
            </w:r>
          </w:p>
        </w:tc>
        <w:tc>
          <w:tcPr>
            <w:tcW w:w="2835" w:type="dxa"/>
          </w:tcPr>
          <w:p w:rsidR="00546516" w:rsidRPr="008C61AE" w:rsidRDefault="006E0442" w:rsidP="006E0442">
            <w:pPr>
              <w:spacing w:after="150"/>
              <w:rPr>
                <w:rFonts w:ascii="Arial" w:hAnsi="Arial" w:cs="Arial"/>
                <w:sz w:val="20"/>
                <w:szCs w:val="18"/>
              </w:rPr>
            </w:pPr>
            <w:r w:rsidRPr="008C61AE">
              <w:rPr>
                <w:rFonts w:ascii="Arial" w:hAnsi="Arial" w:cs="Arial"/>
                <w:sz w:val="20"/>
                <w:szCs w:val="18"/>
              </w:rPr>
              <w:t xml:space="preserve">Affordable housing is housing that is appropriate for the needs of a range of very low to moderate income households and priced so that these households are also able to meet other basic living costs such as food, clothing, transport, medical care and education. </w:t>
            </w:r>
          </w:p>
        </w:tc>
        <w:tc>
          <w:tcPr>
            <w:tcW w:w="2409" w:type="dxa"/>
          </w:tcPr>
          <w:p w:rsidR="00546516" w:rsidRPr="008C61AE" w:rsidRDefault="00546516" w:rsidP="000E596A">
            <w:pPr>
              <w:rPr>
                <w:rFonts w:ascii="Arial" w:hAnsi="Arial" w:cs="Arial"/>
                <w:sz w:val="20"/>
                <w:szCs w:val="20"/>
              </w:rPr>
            </w:pPr>
            <w:r w:rsidRPr="008C61AE">
              <w:rPr>
                <w:rFonts w:ascii="Arial" w:hAnsi="Arial" w:cs="Arial"/>
                <w:sz w:val="20"/>
                <w:szCs w:val="20"/>
              </w:rPr>
              <w:t>Any</w:t>
            </w:r>
            <w:r w:rsidR="000E596A">
              <w:rPr>
                <w:rFonts w:ascii="Arial" w:hAnsi="Arial" w:cs="Arial"/>
                <w:sz w:val="20"/>
                <w:szCs w:val="20"/>
              </w:rPr>
              <w:t xml:space="preserve"> individual or household</w:t>
            </w:r>
            <w:r w:rsidRPr="008C61AE">
              <w:rPr>
                <w:rFonts w:ascii="Arial" w:hAnsi="Arial" w:cs="Arial"/>
                <w:sz w:val="20"/>
                <w:szCs w:val="20"/>
              </w:rPr>
              <w:t xml:space="preserve"> </w:t>
            </w:r>
            <w:r w:rsidR="000E596A">
              <w:rPr>
                <w:rFonts w:ascii="Arial" w:hAnsi="Arial" w:cs="Arial"/>
                <w:sz w:val="20"/>
                <w:szCs w:val="20"/>
              </w:rPr>
              <w:t>that</w:t>
            </w:r>
            <w:r w:rsidRPr="008C61AE">
              <w:rPr>
                <w:rFonts w:ascii="Arial" w:hAnsi="Arial" w:cs="Arial"/>
                <w:sz w:val="20"/>
                <w:szCs w:val="20"/>
              </w:rPr>
              <w:t xml:space="preserve"> cannot afford market housing costs</w:t>
            </w:r>
            <w:r w:rsidR="000E596A">
              <w:rPr>
                <w:rFonts w:ascii="Arial" w:hAnsi="Arial" w:cs="Arial"/>
                <w:sz w:val="20"/>
                <w:szCs w:val="20"/>
              </w:rPr>
              <w:t xml:space="preserve"> based on their income level.</w:t>
            </w:r>
          </w:p>
        </w:tc>
        <w:tc>
          <w:tcPr>
            <w:tcW w:w="2410" w:type="dxa"/>
          </w:tcPr>
          <w:p w:rsidR="00546516" w:rsidRPr="008C61AE" w:rsidRDefault="00546516" w:rsidP="009965CA">
            <w:pPr>
              <w:rPr>
                <w:rFonts w:ascii="Arial" w:hAnsi="Arial" w:cs="Arial"/>
                <w:sz w:val="20"/>
                <w:szCs w:val="20"/>
              </w:rPr>
            </w:pPr>
            <w:r w:rsidRPr="008C61AE">
              <w:rPr>
                <w:rFonts w:ascii="Arial" w:hAnsi="Arial" w:cs="Arial"/>
                <w:sz w:val="20"/>
                <w:szCs w:val="20"/>
              </w:rPr>
              <w:t>Various</w:t>
            </w:r>
          </w:p>
        </w:tc>
      </w:tr>
      <w:tr w:rsidR="00546516" w:rsidTr="0088291A">
        <w:tc>
          <w:tcPr>
            <w:tcW w:w="1555" w:type="dxa"/>
          </w:tcPr>
          <w:p w:rsidR="00546516" w:rsidRPr="008C61AE" w:rsidRDefault="00546516" w:rsidP="006E499F">
            <w:pPr>
              <w:rPr>
                <w:rFonts w:ascii="Arial" w:hAnsi="Arial" w:cs="Arial"/>
                <w:sz w:val="20"/>
                <w:szCs w:val="20"/>
              </w:rPr>
            </w:pPr>
            <w:r w:rsidRPr="008C61AE">
              <w:rPr>
                <w:rFonts w:ascii="Arial" w:hAnsi="Arial" w:cs="Arial"/>
                <w:sz w:val="20"/>
                <w:szCs w:val="20"/>
              </w:rPr>
              <w:t>Affordable rental housing</w:t>
            </w:r>
          </w:p>
        </w:tc>
        <w:tc>
          <w:tcPr>
            <w:tcW w:w="2835" w:type="dxa"/>
          </w:tcPr>
          <w:p w:rsidR="00546516" w:rsidRPr="008C61AE" w:rsidRDefault="00546516" w:rsidP="00546516">
            <w:pPr>
              <w:rPr>
                <w:rFonts w:ascii="Arial" w:hAnsi="Arial" w:cs="Arial"/>
                <w:sz w:val="20"/>
                <w:szCs w:val="20"/>
              </w:rPr>
            </w:pPr>
            <w:r w:rsidRPr="008C61AE">
              <w:rPr>
                <w:rFonts w:ascii="Arial" w:hAnsi="Arial" w:cs="Arial"/>
                <w:sz w:val="20"/>
                <w:szCs w:val="20"/>
              </w:rPr>
              <w:t>Affordable housing</w:t>
            </w:r>
            <w:r w:rsidR="006E0442" w:rsidRPr="008C61AE">
              <w:rPr>
                <w:rFonts w:ascii="Arial" w:hAnsi="Arial" w:cs="Arial"/>
                <w:sz w:val="20"/>
                <w:szCs w:val="20"/>
              </w:rPr>
              <w:t xml:space="preserve"> as described above</w:t>
            </w:r>
            <w:r w:rsidRPr="008C61AE">
              <w:rPr>
                <w:rFonts w:ascii="Arial" w:hAnsi="Arial" w:cs="Arial"/>
                <w:sz w:val="20"/>
                <w:szCs w:val="20"/>
              </w:rPr>
              <w:t xml:space="preserve"> that is provided at an affordable rental rate</w:t>
            </w:r>
            <w:r w:rsidR="006E0442" w:rsidRPr="008C61AE">
              <w:rPr>
                <w:rFonts w:ascii="Arial" w:hAnsi="Arial" w:cs="Arial"/>
                <w:sz w:val="20"/>
                <w:szCs w:val="20"/>
              </w:rPr>
              <w:t>.</w:t>
            </w:r>
          </w:p>
        </w:tc>
        <w:tc>
          <w:tcPr>
            <w:tcW w:w="2409" w:type="dxa"/>
          </w:tcPr>
          <w:p w:rsidR="00546516" w:rsidRPr="008C61AE" w:rsidRDefault="00546516" w:rsidP="006E499F">
            <w:pPr>
              <w:rPr>
                <w:rFonts w:ascii="Arial" w:hAnsi="Arial" w:cs="Arial"/>
                <w:sz w:val="20"/>
                <w:szCs w:val="20"/>
              </w:rPr>
            </w:pPr>
            <w:r w:rsidRPr="008C61AE">
              <w:rPr>
                <w:rFonts w:ascii="Arial" w:hAnsi="Arial" w:cs="Arial"/>
                <w:sz w:val="20"/>
                <w:szCs w:val="20"/>
              </w:rPr>
              <w:t>Key workers</w:t>
            </w:r>
            <w:r w:rsidR="00566125">
              <w:rPr>
                <w:rFonts w:ascii="Arial" w:hAnsi="Arial" w:cs="Arial"/>
                <w:sz w:val="20"/>
                <w:szCs w:val="20"/>
              </w:rPr>
              <w:t xml:space="preserve"> who are paid low to moderate incomes.</w:t>
            </w:r>
          </w:p>
        </w:tc>
        <w:tc>
          <w:tcPr>
            <w:tcW w:w="2410" w:type="dxa"/>
          </w:tcPr>
          <w:p w:rsidR="00546516" w:rsidRDefault="008C61AE" w:rsidP="008C61AE">
            <w:pPr>
              <w:rPr>
                <w:rFonts w:ascii="Arial" w:hAnsi="Arial" w:cs="Arial"/>
                <w:sz w:val="20"/>
                <w:szCs w:val="22"/>
              </w:rPr>
            </w:pPr>
            <w:r w:rsidRPr="008C61AE">
              <w:rPr>
                <w:rFonts w:ascii="Arial" w:hAnsi="Arial" w:cs="Arial"/>
                <w:sz w:val="20"/>
                <w:szCs w:val="22"/>
              </w:rPr>
              <w:t xml:space="preserve">Owned by private developers or investors, local governments, </w:t>
            </w:r>
            <w:r>
              <w:rPr>
                <w:rFonts w:ascii="Arial" w:hAnsi="Arial" w:cs="Arial"/>
                <w:sz w:val="20"/>
                <w:szCs w:val="22"/>
              </w:rPr>
              <w:t>non-government</w:t>
            </w:r>
            <w:r w:rsidRPr="008C61AE">
              <w:rPr>
                <w:rFonts w:ascii="Arial" w:hAnsi="Arial" w:cs="Arial"/>
                <w:sz w:val="20"/>
                <w:szCs w:val="22"/>
              </w:rPr>
              <w:t xml:space="preserve"> </w:t>
            </w:r>
            <w:r w:rsidRPr="008C61AE">
              <w:rPr>
                <w:rFonts w:ascii="Arial" w:hAnsi="Arial" w:cs="Arial"/>
                <w:sz w:val="20"/>
                <w:szCs w:val="22"/>
                <w:lang w:val="en-AU"/>
              </w:rPr>
              <w:t>organisations</w:t>
            </w:r>
            <w:r w:rsidRPr="008C61AE">
              <w:rPr>
                <w:rFonts w:ascii="Arial" w:hAnsi="Arial" w:cs="Arial"/>
                <w:sz w:val="20"/>
                <w:szCs w:val="22"/>
              </w:rPr>
              <w:t xml:space="preserve"> or community housing providers.</w:t>
            </w:r>
            <w:r w:rsidR="00837C6D">
              <w:rPr>
                <w:rFonts w:ascii="Arial" w:hAnsi="Arial" w:cs="Arial"/>
                <w:sz w:val="20"/>
                <w:szCs w:val="22"/>
              </w:rPr>
              <w:t xml:space="preserve"> </w:t>
            </w:r>
          </w:p>
          <w:p w:rsidR="0088291A" w:rsidRDefault="0088291A" w:rsidP="008C61AE">
            <w:pPr>
              <w:rPr>
                <w:rFonts w:ascii="Arial" w:hAnsi="Arial" w:cs="Arial"/>
                <w:sz w:val="20"/>
                <w:szCs w:val="22"/>
              </w:rPr>
            </w:pPr>
          </w:p>
          <w:p w:rsidR="0088291A" w:rsidRPr="008C61AE" w:rsidRDefault="0088291A" w:rsidP="008C61AE">
            <w:pPr>
              <w:rPr>
                <w:rFonts w:ascii="Arial" w:hAnsi="Arial" w:cs="Arial"/>
                <w:sz w:val="20"/>
                <w:szCs w:val="22"/>
              </w:rPr>
            </w:pPr>
          </w:p>
        </w:tc>
      </w:tr>
      <w:tr w:rsidR="00546516" w:rsidTr="0088291A">
        <w:tc>
          <w:tcPr>
            <w:tcW w:w="1555" w:type="dxa"/>
          </w:tcPr>
          <w:p w:rsidR="00546516" w:rsidRPr="008C61AE" w:rsidRDefault="00546516" w:rsidP="006E499F">
            <w:pPr>
              <w:rPr>
                <w:rFonts w:ascii="Arial" w:hAnsi="Arial" w:cs="Arial"/>
                <w:sz w:val="20"/>
                <w:szCs w:val="20"/>
              </w:rPr>
            </w:pPr>
            <w:r w:rsidRPr="008C61AE">
              <w:rPr>
                <w:rFonts w:ascii="Arial" w:hAnsi="Arial" w:cs="Arial"/>
                <w:sz w:val="20"/>
                <w:szCs w:val="20"/>
              </w:rPr>
              <w:t>Social housing</w:t>
            </w:r>
          </w:p>
        </w:tc>
        <w:tc>
          <w:tcPr>
            <w:tcW w:w="2835" w:type="dxa"/>
          </w:tcPr>
          <w:p w:rsidR="00546516" w:rsidRPr="008C61AE" w:rsidRDefault="005A6CE2" w:rsidP="000F403B">
            <w:pPr>
              <w:rPr>
                <w:rFonts w:ascii="Arial" w:hAnsi="Arial" w:cs="Arial"/>
                <w:sz w:val="20"/>
                <w:szCs w:val="20"/>
              </w:rPr>
            </w:pPr>
            <w:r>
              <w:rPr>
                <w:rFonts w:ascii="Arial" w:hAnsi="Arial" w:cs="Arial"/>
                <w:sz w:val="20"/>
                <w:szCs w:val="20"/>
              </w:rPr>
              <w:t>A form of affordable housing owned by the NSW Government and provided to those on very low incomes.</w:t>
            </w:r>
            <w:r w:rsidR="000F403B">
              <w:rPr>
                <w:rFonts w:ascii="Arial" w:hAnsi="Arial" w:cs="Arial"/>
                <w:sz w:val="20"/>
                <w:szCs w:val="20"/>
              </w:rPr>
              <w:t xml:space="preserve"> Currently around 60,000 people are on the waiti</w:t>
            </w:r>
            <w:r w:rsidR="0062377B">
              <w:rPr>
                <w:rFonts w:ascii="Arial" w:hAnsi="Arial" w:cs="Arial"/>
                <w:sz w:val="20"/>
                <w:szCs w:val="20"/>
              </w:rPr>
              <w:t>ng list for this housing type with</w:t>
            </w:r>
            <w:r w:rsidR="008F411B">
              <w:rPr>
                <w:rFonts w:ascii="Arial" w:hAnsi="Arial" w:cs="Arial"/>
                <w:sz w:val="20"/>
                <w:szCs w:val="20"/>
              </w:rPr>
              <w:t xml:space="preserve"> a wait time of </w:t>
            </w:r>
            <w:r w:rsidR="000F403B">
              <w:rPr>
                <w:rFonts w:ascii="Arial" w:hAnsi="Arial" w:cs="Arial"/>
                <w:sz w:val="20"/>
                <w:szCs w:val="20"/>
              </w:rPr>
              <w:t>10 years</w:t>
            </w:r>
          </w:p>
        </w:tc>
        <w:tc>
          <w:tcPr>
            <w:tcW w:w="2409" w:type="dxa"/>
          </w:tcPr>
          <w:p w:rsidR="00566125" w:rsidRDefault="00546516" w:rsidP="00566125">
            <w:pPr>
              <w:pStyle w:val="ListParagraph"/>
              <w:numPr>
                <w:ilvl w:val="0"/>
                <w:numId w:val="26"/>
              </w:numPr>
              <w:ind w:left="171" w:hanging="171"/>
              <w:rPr>
                <w:rFonts w:ascii="Arial" w:hAnsi="Arial" w:cs="Arial"/>
                <w:sz w:val="20"/>
                <w:szCs w:val="20"/>
              </w:rPr>
            </w:pPr>
            <w:r w:rsidRPr="00566125">
              <w:rPr>
                <w:rFonts w:ascii="Arial" w:hAnsi="Arial" w:cs="Arial"/>
                <w:sz w:val="20"/>
                <w:szCs w:val="20"/>
              </w:rPr>
              <w:t xml:space="preserve">People on very low </w:t>
            </w:r>
            <w:r w:rsidR="00515CAC">
              <w:rPr>
                <w:rFonts w:ascii="Arial" w:hAnsi="Arial" w:cs="Arial"/>
                <w:sz w:val="20"/>
                <w:szCs w:val="20"/>
              </w:rPr>
              <w:t xml:space="preserve">and low </w:t>
            </w:r>
            <w:r w:rsidRPr="00566125">
              <w:rPr>
                <w:rFonts w:ascii="Arial" w:hAnsi="Arial" w:cs="Arial"/>
                <w:sz w:val="20"/>
                <w:szCs w:val="20"/>
              </w:rPr>
              <w:t xml:space="preserve">incomes; </w:t>
            </w:r>
          </w:p>
          <w:p w:rsidR="00546516" w:rsidRPr="00566125" w:rsidRDefault="00566125" w:rsidP="00566125">
            <w:pPr>
              <w:pStyle w:val="ListParagraph"/>
              <w:numPr>
                <w:ilvl w:val="0"/>
                <w:numId w:val="26"/>
              </w:numPr>
              <w:ind w:left="171" w:hanging="171"/>
              <w:rPr>
                <w:rFonts w:ascii="Arial" w:hAnsi="Arial" w:cs="Arial"/>
                <w:sz w:val="20"/>
                <w:szCs w:val="20"/>
              </w:rPr>
            </w:pPr>
            <w:r>
              <w:rPr>
                <w:rFonts w:ascii="Arial" w:hAnsi="Arial" w:cs="Arial"/>
                <w:sz w:val="20"/>
                <w:szCs w:val="20"/>
              </w:rPr>
              <w:t>P</w:t>
            </w:r>
            <w:r w:rsidR="00546516" w:rsidRPr="00566125">
              <w:rPr>
                <w:rFonts w:ascii="Arial" w:hAnsi="Arial" w:cs="Arial"/>
                <w:sz w:val="20"/>
                <w:szCs w:val="20"/>
              </w:rPr>
              <w:t>eople who also face other barriers to housing access apart from their economic circumstances</w:t>
            </w:r>
            <w:r>
              <w:rPr>
                <w:rFonts w:ascii="Arial" w:hAnsi="Arial" w:cs="Arial"/>
                <w:sz w:val="20"/>
                <w:szCs w:val="20"/>
              </w:rPr>
              <w:t>, such as mental health or disability</w:t>
            </w:r>
          </w:p>
          <w:p w:rsidR="00546516" w:rsidRPr="008C61AE" w:rsidRDefault="00546516" w:rsidP="006E499F">
            <w:pPr>
              <w:rPr>
                <w:rFonts w:ascii="Arial" w:hAnsi="Arial" w:cs="Arial"/>
                <w:sz w:val="20"/>
                <w:szCs w:val="20"/>
              </w:rPr>
            </w:pPr>
          </w:p>
          <w:p w:rsidR="00546516" w:rsidRPr="008C61AE" w:rsidRDefault="00546516" w:rsidP="006E499F">
            <w:pPr>
              <w:rPr>
                <w:rFonts w:ascii="Arial" w:hAnsi="Arial" w:cs="Arial"/>
                <w:sz w:val="20"/>
                <w:szCs w:val="20"/>
              </w:rPr>
            </w:pPr>
          </w:p>
        </w:tc>
        <w:tc>
          <w:tcPr>
            <w:tcW w:w="2410" w:type="dxa"/>
          </w:tcPr>
          <w:p w:rsidR="00546516" w:rsidRPr="008C61AE" w:rsidRDefault="00546516" w:rsidP="006E499F">
            <w:pPr>
              <w:rPr>
                <w:rFonts w:ascii="Arial" w:hAnsi="Arial" w:cs="Arial"/>
                <w:sz w:val="20"/>
                <w:szCs w:val="20"/>
              </w:rPr>
            </w:pPr>
            <w:r w:rsidRPr="008C61AE">
              <w:rPr>
                <w:rFonts w:ascii="Arial" w:hAnsi="Arial" w:cs="Arial"/>
                <w:sz w:val="20"/>
                <w:szCs w:val="20"/>
              </w:rPr>
              <w:t>NSW Government</w:t>
            </w:r>
            <w:r w:rsidR="005A6CE2">
              <w:rPr>
                <w:rFonts w:ascii="Arial" w:hAnsi="Arial" w:cs="Arial"/>
                <w:sz w:val="20"/>
                <w:szCs w:val="20"/>
              </w:rPr>
              <w:t>, Community Housing Providers on behalf of NSW Government</w:t>
            </w:r>
          </w:p>
        </w:tc>
      </w:tr>
    </w:tbl>
    <w:p w:rsidR="005F7016" w:rsidRDefault="005F7016" w:rsidP="000C7EE2">
      <w:pPr>
        <w:rPr>
          <w:rFonts w:ascii="Arial" w:hAnsi="Arial" w:cs="Arial"/>
          <w:b/>
          <w:szCs w:val="22"/>
        </w:rPr>
      </w:pPr>
    </w:p>
    <w:p w:rsidR="006E499F" w:rsidRPr="00045C88" w:rsidRDefault="006E499F" w:rsidP="000C7EE2">
      <w:pPr>
        <w:rPr>
          <w:rFonts w:ascii="Arial" w:hAnsi="Arial" w:cs="Arial"/>
          <w:b/>
          <w:szCs w:val="22"/>
        </w:rPr>
      </w:pPr>
      <w:r w:rsidRPr="00045C88">
        <w:rPr>
          <w:rFonts w:ascii="Arial" w:hAnsi="Arial" w:cs="Arial"/>
          <w:b/>
          <w:szCs w:val="22"/>
        </w:rPr>
        <w:t xml:space="preserve">Associated documents </w:t>
      </w:r>
    </w:p>
    <w:p w:rsidR="006E499F" w:rsidRPr="00DB0317" w:rsidRDefault="006E499F" w:rsidP="006E499F">
      <w:pPr>
        <w:rPr>
          <w:rFonts w:ascii="Arial" w:hAnsi="Arial" w:cs="Arial"/>
          <w:b/>
          <w:sz w:val="22"/>
          <w:szCs w:val="22"/>
        </w:rPr>
      </w:pPr>
    </w:p>
    <w:tbl>
      <w:tblPr>
        <w:tblStyle w:val="TableGrid"/>
        <w:tblW w:w="0" w:type="auto"/>
        <w:tblInd w:w="-5" w:type="dxa"/>
        <w:tblLook w:val="04A0" w:firstRow="1" w:lastRow="0" w:firstColumn="1" w:lastColumn="0" w:noHBand="0" w:noVBand="1"/>
      </w:tblPr>
      <w:tblGrid>
        <w:gridCol w:w="5245"/>
        <w:gridCol w:w="2693"/>
      </w:tblGrid>
      <w:tr w:rsidR="00624936" w:rsidTr="00472ACE">
        <w:tc>
          <w:tcPr>
            <w:tcW w:w="5245" w:type="dxa"/>
          </w:tcPr>
          <w:p w:rsidR="00624936" w:rsidRPr="00D75456" w:rsidRDefault="00624936" w:rsidP="006E499F">
            <w:pPr>
              <w:rPr>
                <w:rFonts w:ascii="Arial" w:hAnsi="Arial" w:cs="Arial"/>
                <w:b/>
                <w:sz w:val="22"/>
                <w:szCs w:val="22"/>
              </w:rPr>
            </w:pPr>
            <w:r w:rsidRPr="00D75456">
              <w:rPr>
                <w:rFonts w:ascii="Arial" w:hAnsi="Arial" w:cs="Arial"/>
                <w:b/>
                <w:sz w:val="22"/>
                <w:szCs w:val="22"/>
              </w:rPr>
              <w:t>Document Title</w:t>
            </w:r>
          </w:p>
        </w:tc>
        <w:tc>
          <w:tcPr>
            <w:tcW w:w="2693" w:type="dxa"/>
          </w:tcPr>
          <w:p w:rsidR="00624936" w:rsidRPr="00D75456" w:rsidRDefault="00624936" w:rsidP="006E499F">
            <w:pPr>
              <w:rPr>
                <w:rFonts w:ascii="Arial" w:hAnsi="Arial" w:cs="Arial"/>
                <w:b/>
                <w:sz w:val="22"/>
                <w:szCs w:val="22"/>
              </w:rPr>
            </w:pPr>
            <w:r w:rsidRPr="00D75456">
              <w:rPr>
                <w:rFonts w:ascii="Arial" w:hAnsi="Arial" w:cs="Arial"/>
                <w:b/>
                <w:sz w:val="22"/>
                <w:szCs w:val="22"/>
              </w:rPr>
              <w:t>TRIM Number</w:t>
            </w:r>
          </w:p>
        </w:tc>
      </w:tr>
      <w:tr w:rsidR="00624936" w:rsidTr="00472ACE">
        <w:tc>
          <w:tcPr>
            <w:tcW w:w="5245" w:type="dxa"/>
          </w:tcPr>
          <w:p w:rsidR="00624936" w:rsidRPr="00D75456" w:rsidRDefault="00624936" w:rsidP="00624936">
            <w:pPr>
              <w:rPr>
                <w:rFonts w:ascii="Arial" w:hAnsi="Arial" w:cs="Arial"/>
                <w:sz w:val="22"/>
                <w:szCs w:val="22"/>
              </w:rPr>
            </w:pPr>
            <w:r w:rsidRPr="00D75456">
              <w:rPr>
                <w:rFonts w:ascii="Arial" w:hAnsi="Arial" w:cs="Arial"/>
                <w:sz w:val="22"/>
                <w:szCs w:val="22"/>
              </w:rPr>
              <w:t>Affordable Housing Policy 2009</w:t>
            </w:r>
          </w:p>
        </w:tc>
        <w:tc>
          <w:tcPr>
            <w:tcW w:w="2693" w:type="dxa"/>
          </w:tcPr>
          <w:p w:rsidR="00624936" w:rsidRPr="00D75456" w:rsidRDefault="00326BFF" w:rsidP="00624936">
            <w:pPr>
              <w:rPr>
                <w:rFonts w:ascii="Arial" w:hAnsi="Arial" w:cs="Arial"/>
                <w:sz w:val="22"/>
                <w:szCs w:val="22"/>
              </w:rPr>
            </w:pPr>
            <w:r w:rsidRPr="00326BFF">
              <w:rPr>
                <w:rFonts w:ascii="Arial" w:hAnsi="Arial" w:cs="Arial"/>
                <w:sz w:val="22"/>
                <w:szCs w:val="22"/>
              </w:rPr>
              <w:t>POLICY298</w:t>
            </w:r>
          </w:p>
        </w:tc>
      </w:tr>
      <w:tr w:rsidR="00624936" w:rsidTr="00472ACE">
        <w:tc>
          <w:tcPr>
            <w:tcW w:w="5245" w:type="dxa"/>
          </w:tcPr>
          <w:p w:rsidR="00624936" w:rsidRPr="00D75456" w:rsidRDefault="00624936" w:rsidP="00624936">
            <w:pPr>
              <w:rPr>
                <w:rFonts w:ascii="Arial" w:hAnsi="Arial" w:cs="Arial"/>
                <w:sz w:val="22"/>
                <w:szCs w:val="22"/>
              </w:rPr>
            </w:pPr>
            <w:r w:rsidRPr="00D75456">
              <w:rPr>
                <w:rFonts w:ascii="Arial" w:hAnsi="Arial" w:cs="Arial"/>
                <w:sz w:val="22"/>
                <w:szCs w:val="22"/>
              </w:rPr>
              <w:t>Affordable Housing Discussion Paper 2017</w:t>
            </w:r>
          </w:p>
        </w:tc>
        <w:tc>
          <w:tcPr>
            <w:tcW w:w="2693" w:type="dxa"/>
          </w:tcPr>
          <w:p w:rsidR="00624936" w:rsidRPr="00D75456" w:rsidRDefault="002301E3" w:rsidP="00624936">
            <w:pPr>
              <w:rPr>
                <w:rFonts w:ascii="Arial" w:hAnsi="Arial" w:cs="Arial"/>
                <w:sz w:val="22"/>
                <w:szCs w:val="22"/>
              </w:rPr>
            </w:pPr>
            <w:r w:rsidRPr="002301E3">
              <w:rPr>
                <w:rFonts w:ascii="Arial" w:hAnsi="Arial" w:cs="Arial"/>
                <w:sz w:val="22"/>
                <w:szCs w:val="22"/>
              </w:rPr>
              <w:t>D05069390</w:t>
            </w:r>
          </w:p>
        </w:tc>
      </w:tr>
      <w:tr w:rsidR="00472ACE" w:rsidTr="00472ACE">
        <w:tc>
          <w:tcPr>
            <w:tcW w:w="5245" w:type="dxa"/>
          </w:tcPr>
          <w:p w:rsidR="00472ACE" w:rsidRPr="00D75456" w:rsidRDefault="00472ACE" w:rsidP="00624936">
            <w:pPr>
              <w:rPr>
                <w:rFonts w:ascii="Arial" w:hAnsi="Arial" w:cs="Arial"/>
                <w:sz w:val="22"/>
                <w:szCs w:val="22"/>
              </w:rPr>
            </w:pPr>
            <w:r>
              <w:rPr>
                <w:rFonts w:ascii="Arial" w:hAnsi="Arial" w:cs="Arial"/>
                <w:sz w:val="22"/>
                <w:szCs w:val="22"/>
              </w:rPr>
              <w:t>Draft Socially Sustainable Parramatta Framework</w:t>
            </w:r>
          </w:p>
        </w:tc>
        <w:tc>
          <w:tcPr>
            <w:tcW w:w="2693" w:type="dxa"/>
          </w:tcPr>
          <w:p w:rsidR="00472ACE" w:rsidRPr="002301E3" w:rsidRDefault="00472ACE" w:rsidP="00624936">
            <w:pPr>
              <w:rPr>
                <w:rFonts w:ascii="Arial" w:hAnsi="Arial" w:cs="Arial"/>
                <w:sz w:val="22"/>
                <w:szCs w:val="22"/>
              </w:rPr>
            </w:pPr>
            <w:r>
              <w:rPr>
                <w:rFonts w:ascii="Arial" w:hAnsi="Arial" w:cs="Arial"/>
                <w:sz w:val="22"/>
                <w:szCs w:val="22"/>
              </w:rPr>
              <w:t>TBC</w:t>
            </w:r>
          </w:p>
        </w:tc>
      </w:tr>
      <w:tr w:rsidR="00472ACE" w:rsidTr="00472ACE">
        <w:tc>
          <w:tcPr>
            <w:tcW w:w="5245" w:type="dxa"/>
          </w:tcPr>
          <w:p w:rsidR="00472ACE" w:rsidRPr="00D75456" w:rsidRDefault="00472ACE" w:rsidP="00624936">
            <w:pPr>
              <w:rPr>
                <w:rFonts w:ascii="Arial" w:hAnsi="Arial" w:cs="Arial"/>
                <w:sz w:val="22"/>
                <w:szCs w:val="22"/>
              </w:rPr>
            </w:pPr>
            <w:r>
              <w:rPr>
                <w:rFonts w:ascii="Arial" w:hAnsi="Arial" w:cs="Arial"/>
                <w:sz w:val="22"/>
                <w:szCs w:val="22"/>
              </w:rPr>
              <w:t>Draft Disability Inclusion Action Plan</w:t>
            </w:r>
          </w:p>
        </w:tc>
        <w:tc>
          <w:tcPr>
            <w:tcW w:w="2693" w:type="dxa"/>
          </w:tcPr>
          <w:p w:rsidR="00472ACE" w:rsidRPr="002301E3" w:rsidRDefault="00472ACE" w:rsidP="00624936">
            <w:pPr>
              <w:rPr>
                <w:rFonts w:ascii="Arial" w:hAnsi="Arial" w:cs="Arial"/>
                <w:sz w:val="22"/>
                <w:szCs w:val="22"/>
              </w:rPr>
            </w:pPr>
            <w:r>
              <w:rPr>
                <w:rFonts w:ascii="Arial" w:hAnsi="Arial" w:cs="Arial"/>
                <w:sz w:val="22"/>
                <w:szCs w:val="22"/>
              </w:rPr>
              <w:t>TBC</w:t>
            </w:r>
          </w:p>
        </w:tc>
      </w:tr>
    </w:tbl>
    <w:p w:rsidR="00F53917" w:rsidRDefault="00F53917" w:rsidP="006E499F">
      <w:pPr>
        <w:rPr>
          <w:rFonts w:ascii="Arial" w:hAnsi="Arial" w:cs="Arial"/>
          <w:b/>
          <w:szCs w:val="22"/>
        </w:rPr>
      </w:pPr>
    </w:p>
    <w:p w:rsidR="006E499F" w:rsidRPr="00045C88" w:rsidRDefault="006E499F" w:rsidP="006E499F">
      <w:pPr>
        <w:rPr>
          <w:rFonts w:ascii="Arial" w:hAnsi="Arial" w:cs="Arial"/>
          <w:b/>
          <w:szCs w:val="22"/>
        </w:rPr>
      </w:pPr>
      <w:r w:rsidRPr="00045C88">
        <w:rPr>
          <w:rFonts w:ascii="Arial" w:hAnsi="Arial" w:cs="Arial"/>
          <w:b/>
          <w:szCs w:val="22"/>
        </w:rPr>
        <w:lastRenderedPageBreak/>
        <w:t xml:space="preserve">History </w:t>
      </w:r>
    </w:p>
    <w:p w:rsidR="006E499F" w:rsidRPr="00DB0317" w:rsidRDefault="006E499F" w:rsidP="006E499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E499F" w:rsidRPr="00DB0317" w:rsidTr="00CA42E3">
        <w:tc>
          <w:tcPr>
            <w:tcW w:w="4428" w:type="dxa"/>
            <w:shd w:val="clear" w:color="auto" w:fill="auto"/>
          </w:tcPr>
          <w:p w:rsidR="006E499F" w:rsidRPr="00DB0317" w:rsidRDefault="006E499F" w:rsidP="00CA42E3">
            <w:pPr>
              <w:rPr>
                <w:rFonts w:ascii="Arial" w:hAnsi="Arial" w:cs="Arial"/>
                <w:b/>
                <w:sz w:val="22"/>
                <w:szCs w:val="22"/>
              </w:rPr>
            </w:pPr>
            <w:r w:rsidRPr="00DB0317">
              <w:rPr>
                <w:rFonts w:ascii="Arial" w:hAnsi="Arial" w:cs="Arial"/>
                <w:b/>
                <w:sz w:val="22"/>
                <w:szCs w:val="22"/>
              </w:rPr>
              <w:t>REFERENCES</w:t>
            </w:r>
          </w:p>
        </w:tc>
        <w:tc>
          <w:tcPr>
            <w:tcW w:w="4428" w:type="dxa"/>
            <w:shd w:val="clear" w:color="auto" w:fill="auto"/>
          </w:tcPr>
          <w:p w:rsidR="006E499F" w:rsidRPr="00DB0317" w:rsidRDefault="006E499F" w:rsidP="00CA42E3">
            <w:pPr>
              <w:rPr>
                <w:rFonts w:ascii="Arial" w:hAnsi="Arial" w:cs="Arial"/>
                <w:b/>
                <w:color w:val="FF0000"/>
                <w:szCs w:val="22"/>
              </w:rPr>
            </w:pPr>
          </w:p>
        </w:tc>
      </w:tr>
      <w:tr w:rsidR="006E499F" w:rsidRPr="00DB0317" w:rsidTr="00CA42E3">
        <w:tc>
          <w:tcPr>
            <w:tcW w:w="4428" w:type="dxa"/>
            <w:shd w:val="clear" w:color="auto" w:fill="auto"/>
          </w:tcPr>
          <w:p w:rsidR="006E499F" w:rsidRPr="00DB0317" w:rsidRDefault="006E499F" w:rsidP="00CA42E3">
            <w:pPr>
              <w:rPr>
                <w:rFonts w:ascii="Arial" w:hAnsi="Arial" w:cs="Arial"/>
                <w:b/>
                <w:sz w:val="22"/>
                <w:szCs w:val="22"/>
              </w:rPr>
            </w:pPr>
            <w:r w:rsidRPr="00DB0317">
              <w:rPr>
                <w:rFonts w:ascii="Arial" w:hAnsi="Arial" w:cs="Arial"/>
                <w:b/>
                <w:sz w:val="22"/>
                <w:szCs w:val="22"/>
              </w:rPr>
              <w:t>POLICIES</w:t>
            </w:r>
          </w:p>
        </w:tc>
        <w:tc>
          <w:tcPr>
            <w:tcW w:w="4428" w:type="dxa"/>
            <w:shd w:val="clear" w:color="auto" w:fill="auto"/>
          </w:tcPr>
          <w:p w:rsidR="006E499F" w:rsidRPr="00DB0317" w:rsidRDefault="006E499F" w:rsidP="00CA42E3">
            <w:pPr>
              <w:rPr>
                <w:rFonts w:ascii="Arial" w:hAnsi="Arial" w:cs="Arial"/>
                <w:b/>
                <w:sz w:val="22"/>
                <w:szCs w:val="22"/>
              </w:rPr>
            </w:pPr>
          </w:p>
        </w:tc>
      </w:tr>
      <w:tr w:rsidR="006E499F" w:rsidRPr="00DB0317" w:rsidTr="00CA42E3">
        <w:tc>
          <w:tcPr>
            <w:tcW w:w="4428" w:type="dxa"/>
            <w:shd w:val="clear" w:color="auto" w:fill="auto"/>
          </w:tcPr>
          <w:p w:rsidR="006E499F" w:rsidRPr="00DB0317" w:rsidRDefault="006E499F" w:rsidP="00CA42E3">
            <w:pPr>
              <w:rPr>
                <w:rFonts w:ascii="Arial" w:hAnsi="Arial" w:cs="Arial"/>
                <w:b/>
                <w:sz w:val="22"/>
                <w:szCs w:val="22"/>
              </w:rPr>
            </w:pPr>
            <w:r w:rsidRPr="00DB0317">
              <w:rPr>
                <w:rFonts w:ascii="Arial" w:hAnsi="Arial" w:cs="Arial"/>
                <w:b/>
                <w:sz w:val="22"/>
                <w:szCs w:val="22"/>
              </w:rPr>
              <w:t>ATTACHMENTS</w:t>
            </w:r>
          </w:p>
        </w:tc>
        <w:tc>
          <w:tcPr>
            <w:tcW w:w="4428" w:type="dxa"/>
            <w:shd w:val="clear" w:color="auto" w:fill="auto"/>
          </w:tcPr>
          <w:p w:rsidR="006E499F" w:rsidRPr="00DB0317" w:rsidRDefault="006E499F" w:rsidP="00CA42E3">
            <w:pPr>
              <w:rPr>
                <w:rFonts w:ascii="Arial" w:hAnsi="Arial" w:cs="Arial"/>
                <w:b/>
                <w:sz w:val="22"/>
                <w:szCs w:val="22"/>
              </w:rPr>
            </w:pPr>
          </w:p>
        </w:tc>
      </w:tr>
      <w:bookmarkEnd w:id="0"/>
    </w:tbl>
    <w:p w:rsidR="006E499F" w:rsidRPr="00DB0317" w:rsidRDefault="006E499F" w:rsidP="006E499F">
      <w:pPr>
        <w:rPr>
          <w:rFonts w:ascii="Arial" w:hAnsi="Arial" w:cs="Arial"/>
        </w:rPr>
      </w:pPr>
    </w:p>
    <w:p w:rsidR="00DD2BF3" w:rsidRPr="006E499F" w:rsidRDefault="00DD2BF3" w:rsidP="006E499F"/>
    <w:sectPr w:rsidR="00DD2BF3" w:rsidRPr="006E499F" w:rsidSect="00F72BFC">
      <w:headerReference w:type="default" r:id="rId8"/>
      <w:footerReference w:type="default" r:id="rId9"/>
      <w:pgSz w:w="12240" w:h="15840"/>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717" w:rsidRDefault="00B53717">
      <w:r>
        <w:separator/>
      </w:r>
    </w:p>
  </w:endnote>
  <w:endnote w:type="continuationSeparator" w:id="0">
    <w:p w:rsidR="00B53717" w:rsidRDefault="00B5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420"/>
      <w:gridCol w:w="2520"/>
    </w:tblGrid>
    <w:tr w:rsidR="00B53717" w:rsidTr="007233DC">
      <w:trPr>
        <w:jc w:val="center"/>
      </w:trPr>
      <w:tc>
        <w:tcPr>
          <w:tcW w:w="8748" w:type="dxa"/>
          <w:gridSpan w:val="3"/>
          <w:vAlign w:val="center"/>
        </w:tcPr>
        <w:p w:rsidR="00B53717" w:rsidRPr="00120279" w:rsidRDefault="00B53717" w:rsidP="00CA42E3">
          <w:pPr>
            <w:pStyle w:val="CSDComp"/>
            <w:rPr>
              <w:sz w:val="18"/>
              <w:szCs w:val="18"/>
            </w:rPr>
          </w:pPr>
          <w:r>
            <w:rPr>
              <w:sz w:val="18"/>
              <w:szCs w:val="18"/>
            </w:rPr>
            <w:t xml:space="preserve">Affordable Housing Policy </w:t>
          </w:r>
        </w:p>
      </w:tc>
    </w:tr>
    <w:tr w:rsidR="00B53717" w:rsidTr="007233DC">
      <w:trPr>
        <w:trHeight w:val="299"/>
        <w:jc w:val="center"/>
      </w:trPr>
      <w:tc>
        <w:tcPr>
          <w:tcW w:w="2808" w:type="dxa"/>
          <w:vAlign w:val="center"/>
        </w:tcPr>
        <w:p w:rsidR="00B53717" w:rsidRPr="00120279" w:rsidRDefault="00B53717" w:rsidP="00CA42E3">
          <w:pPr>
            <w:pStyle w:val="CSDPArea"/>
            <w:jc w:val="center"/>
            <w:rPr>
              <w:sz w:val="16"/>
              <w:szCs w:val="16"/>
            </w:rPr>
          </w:pPr>
          <w:r w:rsidRPr="00120279">
            <w:rPr>
              <w:sz w:val="16"/>
              <w:szCs w:val="16"/>
            </w:rPr>
            <w:t>Owner</w:t>
          </w:r>
        </w:p>
      </w:tc>
      <w:tc>
        <w:tcPr>
          <w:tcW w:w="3420" w:type="dxa"/>
          <w:vAlign w:val="center"/>
        </w:tcPr>
        <w:p w:rsidR="00B53717" w:rsidRPr="00120279" w:rsidRDefault="00B53717" w:rsidP="00CA42E3">
          <w:pPr>
            <w:pStyle w:val="CSDApprover"/>
            <w:jc w:val="center"/>
            <w:rPr>
              <w:sz w:val="16"/>
              <w:szCs w:val="16"/>
            </w:rPr>
          </w:pPr>
          <w:r w:rsidRPr="00120279">
            <w:rPr>
              <w:sz w:val="16"/>
              <w:szCs w:val="16"/>
            </w:rPr>
            <w:t xml:space="preserve">Area: </w:t>
          </w:r>
          <w:r>
            <w:rPr>
              <w:sz w:val="16"/>
              <w:szCs w:val="16"/>
            </w:rPr>
            <w:t>Social Outcomes</w:t>
          </w:r>
        </w:p>
      </w:tc>
      <w:tc>
        <w:tcPr>
          <w:tcW w:w="2520" w:type="dxa"/>
          <w:vAlign w:val="center"/>
        </w:tcPr>
        <w:p w:rsidR="00B53717" w:rsidRPr="00120279" w:rsidRDefault="00B53717" w:rsidP="00CA42E3">
          <w:pPr>
            <w:pStyle w:val="CSDIssue"/>
            <w:jc w:val="center"/>
            <w:rPr>
              <w:sz w:val="16"/>
              <w:szCs w:val="16"/>
            </w:rPr>
          </w:pPr>
          <w:r>
            <w:rPr>
              <w:sz w:val="16"/>
              <w:szCs w:val="16"/>
            </w:rPr>
            <w:t xml:space="preserve">POL No: </w:t>
          </w:r>
        </w:p>
      </w:tc>
    </w:tr>
    <w:tr w:rsidR="00B53717" w:rsidTr="007233DC">
      <w:trPr>
        <w:jc w:val="center"/>
      </w:trPr>
      <w:tc>
        <w:tcPr>
          <w:tcW w:w="2808" w:type="dxa"/>
          <w:vAlign w:val="center"/>
        </w:tcPr>
        <w:p w:rsidR="00B53717" w:rsidRDefault="00B53717" w:rsidP="00CA42E3">
          <w:pPr>
            <w:pStyle w:val="CSDREWDate"/>
            <w:jc w:val="center"/>
            <w:rPr>
              <w:sz w:val="16"/>
              <w:szCs w:val="16"/>
            </w:rPr>
          </w:pPr>
          <w:r>
            <w:rPr>
              <w:sz w:val="16"/>
              <w:szCs w:val="16"/>
            </w:rPr>
            <w:t xml:space="preserve">Date of Commencement: </w:t>
          </w:r>
        </w:p>
        <w:p w:rsidR="00B53717" w:rsidRPr="00120279" w:rsidRDefault="00B53717" w:rsidP="00CA42E3">
          <w:pPr>
            <w:pStyle w:val="CSDPAspect"/>
            <w:jc w:val="center"/>
            <w:rPr>
              <w:sz w:val="16"/>
              <w:szCs w:val="16"/>
            </w:rPr>
          </w:pPr>
        </w:p>
      </w:tc>
      <w:tc>
        <w:tcPr>
          <w:tcW w:w="3420" w:type="dxa"/>
          <w:vAlign w:val="center"/>
        </w:tcPr>
        <w:p w:rsidR="00B53717" w:rsidRPr="00120279" w:rsidRDefault="00B53717" w:rsidP="00CA42E3">
          <w:pPr>
            <w:pStyle w:val="CSDSME"/>
            <w:jc w:val="center"/>
            <w:rPr>
              <w:sz w:val="16"/>
              <w:szCs w:val="16"/>
            </w:rPr>
          </w:pPr>
          <w:r>
            <w:rPr>
              <w:sz w:val="16"/>
              <w:szCs w:val="16"/>
            </w:rPr>
            <w:t xml:space="preserve">Approval Authority: </w:t>
          </w:r>
        </w:p>
      </w:tc>
      <w:tc>
        <w:tcPr>
          <w:tcW w:w="2520" w:type="dxa"/>
          <w:vAlign w:val="center"/>
        </w:tcPr>
        <w:p w:rsidR="00B53717" w:rsidRPr="00120279" w:rsidRDefault="00B53717" w:rsidP="00CA42E3">
          <w:pPr>
            <w:pStyle w:val="CSDREWDate"/>
            <w:jc w:val="center"/>
            <w:rPr>
              <w:sz w:val="16"/>
              <w:szCs w:val="16"/>
            </w:rPr>
          </w:pPr>
          <w:r>
            <w:rPr>
              <w:sz w:val="16"/>
              <w:szCs w:val="16"/>
            </w:rPr>
            <w:t>Date Approved:</w:t>
          </w:r>
        </w:p>
      </w:tc>
    </w:tr>
    <w:tr w:rsidR="00B53717" w:rsidTr="007233DC">
      <w:trPr>
        <w:jc w:val="center"/>
      </w:trPr>
      <w:tc>
        <w:tcPr>
          <w:tcW w:w="2808" w:type="dxa"/>
          <w:vAlign w:val="center"/>
        </w:tcPr>
        <w:p w:rsidR="00B53717" w:rsidRDefault="00B53717" w:rsidP="00CA42E3">
          <w:pPr>
            <w:pStyle w:val="CSDPAspect"/>
            <w:jc w:val="center"/>
            <w:rPr>
              <w:sz w:val="16"/>
              <w:szCs w:val="16"/>
            </w:rPr>
          </w:pPr>
          <w:r>
            <w:rPr>
              <w:sz w:val="16"/>
              <w:szCs w:val="16"/>
            </w:rPr>
            <w:t xml:space="preserve">Amendment </w:t>
          </w:r>
        </w:p>
      </w:tc>
      <w:tc>
        <w:tcPr>
          <w:tcW w:w="3420" w:type="dxa"/>
          <w:vAlign w:val="center"/>
        </w:tcPr>
        <w:p w:rsidR="00B53717" w:rsidRDefault="00B53717" w:rsidP="00CA42E3">
          <w:pPr>
            <w:pStyle w:val="CSDSME"/>
            <w:jc w:val="center"/>
            <w:rPr>
              <w:sz w:val="16"/>
              <w:szCs w:val="16"/>
            </w:rPr>
          </w:pPr>
          <w:r>
            <w:rPr>
              <w:sz w:val="16"/>
              <w:szCs w:val="16"/>
            </w:rPr>
            <w:t>Date of Next Review:</w:t>
          </w:r>
        </w:p>
      </w:tc>
      <w:tc>
        <w:tcPr>
          <w:tcW w:w="2520" w:type="dxa"/>
          <w:vAlign w:val="center"/>
        </w:tcPr>
        <w:p w:rsidR="00B53717" w:rsidRDefault="00B53717" w:rsidP="00CA42E3">
          <w:pPr>
            <w:pStyle w:val="CSDREWDate"/>
            <w:jc w:val="center"/>
            <w:rPr>
              <w:sz w:val="16"/>
              <w:szCs w:val="16"/>
            </w:rPr>
          </w:pPr>
          <w:r>
            <w:rPr>
              <w:sz w:val="16"/>
              <w:szCs w:val="16"/>
            </w:rPr>
            <w:t xml:space="preserve">Review: </w:t>
          </w:r>
        </w:p>
      </w:tc>
    </w:tr>
  </w:tbl>
  <w:p w:rsidR="00B53717" w:rsidRPr="00AF2ECE" w:rsidRDefault="00B53717" w:rsidP="00DD2BF3">
    <w:pPr>
      <w:pStyle w:val="Footer"/>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717" w:rsidRDefault="00B53717">
      <w:r>
        <w:separator/>
      </w:r>
    </w:p>
  </w:footnote>
  <w:footnote w:type="continuationSeparator" w:id="0">
    <w:p w:rsidR="00B53717" w:rsidRDefault="00B53717">
      <w:r>
        <w:continuationSeparator/>
      </w:r>
    </w:p>
  </w:footnote>
  <w:footnote w:id="1">
    <w:p w:rsidR="00B53717" w:rsidRPr="002B2197" w:rsidRDefault="00B53717" w:rsidP="00EE6DF2">
      <w:pPr>
        <w:pStyle w:val="FootnoteText"/>
        <w:rPr>
          <w:rFonts w:ascii="Arial" w:hAnsi="Arial" w:cs="Arial"/>
          <w:sz w:val="18"/>
          <w:szCs w:val="18"/>
        </w:rPr>
      </w:pPr>
      <w:r w:rsidRPr="002B2197">
        <w:rPr>
          <w:rStyle w:val="FootnoteReference"/>
          <w:rFonts w:ascii="Arial" w:hAnsi="Arial" w:cs="Arial"/>
          <w:sz w:val="18"/>
          <w:szCs w:val="18"/>
        </w:rPr>
        <w:footnoteRef/>
      </w:r>
      <w:r w:rsidRPr="002B2197">
        <w:rPr>
          <w:rFonts w:ascii="Arial" w:hAnsi="Arial" w:cs="Arial"/>
          <w:sz w:val="18"/>
          <w:szCs w:val="18"/>
        </w:rPr>
        <w:t xml:space="preserve"> http://www.housing.nsw.gov.au/centre-for-affordable-housing/for-planners-of-affordable-housing/where-do-we-need-affordable-housing</w:t>
      </w:r>
    </w:p>
  </w:footnote>
  <w:footnote w:id="2">
    <w:p w:rsidR="00B53717" w:rsidRPr="00234137" w:rsidRDefault="00B53717" w:rsidP="00EE6DF2">
      <w:pPr>
        <w:rPr>
          <w:sz w:val="20"/>
          <w:szCs w:val="20"/>
        </w:rPr>
      </w:pPr>
      <w:r w:rsidRPr="002B2197">
        <w:rPr>
          <w:rStyle w:val="FootnoteReference"/>
          <w:rFonts w:ascii="Arial" w:hAnsi="Arial" w:cs="Arial"/>
          <w:sz w:val="18"/>
          <w:szCs w:val="18"/>
        </w:rPr>
        <w:footnoteRef/>
      </w:r>
      <w:r w:rsidRPr="002B2197">
        <w:rPr>
          <w:rFonts w:ascii="Arial" w:hAnsi="Arial" w:cs="Arial"/>
          <w:sz w:val="18"/>
          <w:szCs w:val="18"/>
        </w:rPr>
        <w:t xml:space="preserve"> .id Profile, August 2015, ‘Parramatta Key Workers: Final Report’</w:t>
      </w:r>
    </w:p>
  </w:footnote>
  <w:footnote w:id="3">
    <w:p w:rsidR="00B53717" w:rsidRPr="002B2197" w:rsidRDefault="00B53717" w:rsidP="00CA42E3">
      <w:pPr>
        <w:pStyle w:val="FootnoteText"/>
        <w:rPr>
          <w:rFonts w:ascii="Arial" w:hAnsi="Arial" w:cs="Arial"/>
          <w:sz w:val="18"/>
        </w:rPr>
      </w:pPr>
      <w:r w:rsidRPr="002B2197">
        <w:rPr>
          <w:rStyle w:val="FootnoteReference"/>
          <w:rFonts w:ascii="Arial" w:hAnsi="Arial" w:cs="Arial"/>
          <w:sz w:val="18"/>
        </w:rPr>
        <w:footnoteRef/>
      </w:r>
      <w:r w:rsidRPr="002B2197">
        <w:rPr>
          <w:rFonts w:ascii="Arial" w:hAnsi="Arial" w:cs="Arial"/>
          <w:sz w:val="18"/>
        </w:rPr>
        <w:t xml:space="preserve"> The estimated number of dwellings in City of Parramatta as at 2016 is 87,005.</w:t>
      </w:r>
    </w:p>
  </w:footnote>
  <w:footnote w:id="4">
    <w:p w:rsidR="00B53717" w:rsidRDefault="00B53717" w:rsidP="00CA42E3">
      <w:pPr>
        <w:pStyle w:val="FootnoteText"/>
      </w:pPr>
      <w:r w:rsidRPr="002B2197">
        <w:rPr>
          <w:rStyle w:val="FootnoteReference"/>
          <w:rFonts w:ascii="Arial" w:hAnsi="Arial" w:cs="Arial"/>
          <w:sz w:val="18"/>
        </w:rPr>
        <w:footnoteRef/>
      </w:r>
      <w:r w:rsidRPr="002B2197">
        <w:rPr>
          <w:rFonts w:ascii="Arial" w:hAnsi="Arial" w:cs="Arial"/>
          <w:sz w:val="18"/>
        </w:rPr>
        <w:t xml:space="preserve"> Based on updated data provided by Department of Family and Community Services (FACS) in April 2017</w:t>
      </w:r>
    </w:p>
  </w:footnote>
  <w:footnote w:id="5">
    <w:p w:rsidR="00B53717" w:rsidRPr="005D63FE" w:rsidRDefault="00B53717">
      <w:pPr>
        <w:pStyle w:val="FootnoteText"/>
        <w:rPr>
          <w:rFonts w:ascii="Arial" w:hAnsi="Arial" w:cs="Arial"/>
          <w:sz w:val="18"/>
        </w:rPr>
      </w:pPr>
      <w:r w:rsidRPr="005D63FE">
        <w:rPr>
          <w:rStyle w:val="FootnoteReference"/>
          <w:rFonts w:ascii="Arial" w:hAnsi="Arial" w:cs="Arial"/>
          <w:sz w:val="18"/>
        </w:rPr>
        <w:footnoteRef/>
      </w:r>
      <w:r w:rsidRPr="005D63FE">
        <w:rPr>
          <w:rFonts w:ascii="Arial" w:hAnsi="Arial" w:cs="Arial"/>
          <w:sz w:val="18"/>
        </w:rPr>
        <w:t xml:space="preserve"> http://www.smh.com.au/nsw/ipsos-issues-monitor-reveals-the-10-things-that-most-worry-sydneysiders-20161227-gtiaad.html</w:t>
      </w:r>
      <w:r>
        <w:rPr>
          <w:rFonts w:ascii="Arial" w:hAnsi="Arial" w:cs="Arial"/>
          <w:sz w:val="18"/>
        </w:rPr>
        <w:t xml:space="preserve"> and </w:t>
      </w:r>
      <w:r w:rsidRPr="00C65290">
        <w:rPr>
          <w:rFonts w:ascii="Arial" w:hAnsi="Arial" w:cs="Arial"/>
          <w:sz w:val="18"/>
        </w:rPr>
        <w:t>http://politicsir.cass.anu.edu.au/content/attitudes-housing-affordability</w:t>
      </w:r>
    </w:p>
  </w:footnote>
  <w:footnote w:id="6">
    <w:p w:rsidR="00B53717" w:rsidRDefault="00B53717" w:rsidP="00417A88">
      <w:pPr>
        <w:pStyle w:val="FootnoteText"/>
      </w:pPr>
      <w:r w:rsidRPr="005D63FE">
        <w:rPr>
          <w:rStyle w:val="FootnoteReference"/>
          <w:rFonts w:ascii="Arial" w:hAnsi="Arial" w:cs="Arial"/>
          <w:sz w:val="18"/>
        </w:rPr>
        <w:footnoteRef/>
      </w:r>
      <w:r w:rsidRPr="005D63FE">
        <w:rPr>
          <w:rFonts w:ascii="Arial" w:hAnsi="Arial" w:cs="Arial"/>
          <w:sz w:val="18"/>
        </w:rPr>
        <w:t xml:space="preserve"> Table adapted from the City of Sydney’s Housing Issues Paper, published April 2015.</w:t>
      </w:r>
    </w:p>
  </w:footnote>
  <w:footnote w:id="7">
    <w:p w:rsidR="00B53717" w:rsidRPr="00125881" w:rsidRDefault="00B53717" w:rsidP="00074CBA">
      <w:pPr>
        <w:pStyle w:val="FootnoteText"/>
        <w:rPr>
          <w:rFonts w:ascii="Arial" w:hAnsi="Arial" w:cs="Arial"/>
        </w:rPr>
      </w:pPr>
      <w:r w:rsidRPr="00125881">
        <w:rPr>
          <w:rStyle w:val="FootnoteReference"/>
          <w:rFonts w:ascii="Arial" w:hAnsi="Arial" w:cs="Arial"/>
          <w:sz w:val="18"/>
        </w:rPr>
        <w:footnoteRef/>
      </w:r>
      <w:r w:rsidRPr="00125881">
        <w:rPr>
          <w:rFonts w:ascii="Arial" w:hAnsi="Arial" w:cs="Arial"/>
          <w:sz w:val="18"/>
        </w:rPr>
        <w:t xml:space="preserve"> Inner West Council, </w:t>
      </w:r>
      <w:r w:rsidRPr="00125881">
        <w:rPr>
          <w:rFonts w:ascii="Arial" w:hAnsi="Arial" w:cs="Arial"/>
          <w:i/>
          <w:sz w:val="18"/>
        </w:rPr>
        <w:t>Position Paper: Best Practice in Value Capture</w:t>
      </w:r>
      <w:r w:rsidRPr="00125881">
        <w:rPr>
          <w:rFonts w:ascii="Arial" w:hAnsi="Arial" w:cs="Arial"/>
          <w:sz w:val="18"/>
        </w:rPr>
        <w:t>, November 2016, prepared by Judith Stubbs and Associates.</w:t>
      </w:r>
    </w:p>
  </w:footnote>
  <w:footnote w:id="8">
    <w:p w:rsidR="00B53717" w:rsidRPr="00527FCC" w:rsidRDefault="00B53717" w:rsidP="006530CD">
      <w:pPr>
        <w:pStyle w:val="FootnoteText"/>
        <w:rPr>
          <w:rFonts w:ascii="Arial" w:hAnsi="Arial" w:cs="Arial"/>
          <w:sz w:val="18"/>
          <w:szCs w:val="18"/>
        </w:rPr>
      </w:pPr>
      <w:r w:rsidRPr="00527FCC">
        <w:rPr>
          <w:rStyle w:val="FootnoteReference"/>
          <w:rFonts w:ascii="Arial" w:hAnsi="Arial" w:cs="Arial"/>
          <w:sz w:val="18"/>
          <w:szCs w:val="18"/>
        </w:rPr>
        <w:footnoteRef/>
      </w:r>
      <w:r w:rsidRPr="00527FCC">
        <w:rPr>
          <w:rFonts w:ascii="Arial" w:hAnsi="Arial" w:cs="Arial"/>
          <w:sz w:val="18"/>
          <w:szCs w:val="18"/>
        </w:rPr>
        <w:t xml:space="preserve"> This figure excludes boarding house rooms and secondary dwellings as these are not guaranteed to be affordable</w:t>
      </w:r>
    </w:p>
  </w:footnote>
  <w:footnote w:id="9">
    <w:p w:rsidR="00B53717" w:rsidRPr="00527FCC" w:rsidRDefault="00B53717" w:rsidP="006530CD">
      <w:pPr>
        <w:pStyle w:val="FootnoteText"/>
        <w:rPr>
          <w:rFonts w:ascii="Arial" w:hAnsi="Arial" w:cs="Arial"/>
          <w:sz w:val="18"/>
          <w:szCs w:val="18"/>
        </w:rPr>
      </w:pPr>
      <w:r w:rsidRPr="00527FCC">
        <w:rPr>
          <w:rStyle w:val="FootnoteReference"/>
          <w:rFonts w:ascii="Arial" w:hAnsi="Arial" w:cs="Arial"/>
          <w:sz w:val="18"/>
          <w:szCs w:val="18"/>
        </w:rPr>
        <w:footnoteRef/>
      </w:r>
      <w:r>
        <w:rPr>
          <w:rFonts w:ascii="Arial" w:hAnsi="Arial" w:cs="Arial"/>
          <w:sz w:val="18"/>
          <w:szCs w:val="18"/>
        </w:rPr>
        <w:t xml:space="preserve"> The c</w:t>
      </w:r>
      <w:r w:rsidRPr="00527FCC">
        <w:rPr>
          <w:rFonts w:ascii="Arial" w:hAnsi="Arial" w:cs="Arial"/>
          <w:sz w:val="18"/>
          <w:szCs w:val="18"/>
        </w:rPr>
        <w:t>alculation used to determine this is outlined in Method 1 above</w:t>
      </w:r>
    </w:p>
  </w:footnote>
  <w:footnote w:id="10">
    <w:p w:rsidR="00B53717" w:rsidRDefault="00B53717" w:rsidP="006530CD">
      <w:pPr>
        <w:pStyle w:val="FootnoteText"/>
      </w:pPr>
      <w:r w:rsidRPr="00527FCC">
        <w:rPr>
          <w:rStyle w:val="FootnoteReference"/>
          <w:rFonts w:ascii="Arial" w:hAnsi="Arial" w:cs="Arial"/>
          <w:sz w:val="18"/>
          <w:szCs w:val="18"/>
        </w:rPr>
        <w:footnoteRef/>
      </w:r>
      <w:r w:rsidRPr="00527FCC">
        <w:rPr>
          <w:rFonts w:ascii="Arial" w:hAnsi="Arial" w:cs="Arial"/>
          <w:sz w:val="18"/>
          <w:szCs w:val="18"/>
        </w:rPr>
        <w:t xml:space="preserve"> At the time of the 2011 Censu</w:t>
      </w:r>
      <w:r>
        <w:rPr>
          <w:rFonts w:ascii="Arial" w:hAnsi="Arial" w:cs="Arial"/>
          <w:sz w:val="18"/>
          <w:szCs w:val="18"/>
        </w:rPr>
        <w:t xml:space="preserve">s, </w:t>
      </w:r>
      <w:r w:rsidRPr="00527FCC">
        <w:rPr>
          <w:rFonts w:ascii="Arial" w:hAnsi="Arial" w:cs="Arial"/>
          <w:sz w:val="18"/>
          <w:szCs w:val="18"/>
        </w:rPr>
        <w:t>City of Parramatta’s total housing stock was made up of social housing at a rate of 6%.</w:t>
      </w:r>
      <w:r>
        <w:rPr>
          <w:rFonts w:ascii="Arial" w:hAnsi="Arial" w:cs="Arial"/>
          <w:sz w:val="18"/>
          <w:szCs w:val="18"/>
        </w:rPr>
        <w:t xml:space="preserve"> This figure has decreased to 5.1% at 2016 based on current numbers of social housing dwellings within the LGA.</w:t>
      </w:r>
    </w:p>
  </w:footnote>
  <w:footnote w:id="11">
    <w:p w:rsidR="00B53717" w:rsidRPr="00E00826" w:rsidRDefault="00B53717">
      <w:pPr>
        <w:pStyle w:val="FootnoteText"/>
        <w:rPr>
          <w:rFonts w:ascii="Arial" w:hAnsi="Arial" w:cs="Arial"/>
          <w:sz w:val="18"/>
        </w:rPr>
      </w:pPr>
      <w:r w:rsidRPr="00E00826">
        <w:rPr>
          <w:rStyle w:val="FootnoteReference"/>
          <w:rFonts w:ascii="Arial" w:hAnsi="Arial" w:cs="Arial"/>
          <w:sz w:val="18"/>
        </w:rPr>
        <w:footnoteRef/>
      </w:r>
      <w:r w:rsidRPr="00E00826">
        <w:rPr>
          <w:rFonts w:ascii="Arial" w:hAnsi="Arial" w:cs="Arial"/>
          <w:sz w:val="18"/>
        </w:rPr>
        <w:t xml:space="preserve"> P. 45, Daley, John &amp; Wood, Danielle, April 2016. Hot Property: Negative Gearing and capital Gains Tax Reform.</w:t>
      </w:r>
    </w:p>
  </w:footnote>
  <w:footnote w:id="12">
    <w:p w:rsidR="00B53717" w:rsidRPr="00E00826" w:rsidRDefault="00B53717">
      <w:pPr>
        <w:pStyle w:val="FootnoteText"/>
        <w:rPr>
          <w:rFonts w:ascii="Arial" w:hAnsi="Arial" w:cs="Arial"/>
          <w:sz w:val="18"/>
        </w:rPr>
      </w:pPr>
      <w:r w:rsidRPr="00E00826">
        <w:rPr>
          <w:rStyle w:val="FootnoteReference"/>
          <w:rFonts w:ascii="Arial" w:hAnsi="Arial" w:cs="Arial"/>
          <w:sz w:val="18"/>
        </w:rPr>
        <w:footnoteRef/>
      </w:r>
      <w:r w:rsidRPr="00E00826">
        <w:rPr>
          <w:rFonts w:ascii="Arial" w:hAnsi="Arial" w:cs="Arial"/>
          <w:sz w:val="18"/>
        </w:rPr>
        <w:t xml:space="preserve"> Henry Tax Review, commissioned by the Rudd Government in 2008 and published in 2010.</w:t>
      </w:r>
    </w:p>
  </w:footnote>
  <w:footnote w:id="13">
    <w:p w:rsidR="00B53717" w:rsidRDefault="00B53717">
      <w:pPr>
        <w:pStyle w:val="FootnoteText"/>
      </w:pPr>
      <w:r w:rsidRPr="00E00826">
        <w:rPr>
          <w:rStyle w:val="FootnoteReference"/>
          <w:rFonts w:ascii="Arial" w:hAnsi="Arial" w:cs="Arial"/>
          <w:sz w:val="18"/>
        </w:rPr>
        <w:footnoteRef/>
      </w:r>
      <w:r w:rsidRPr="00E00826">
        <w:rPr>
          <w:rFonts w:ascii="Arial" w:hAnsi="Arial" w:cs="Arial"/>
          <w:sz w:val="18"/>
        </w:rPr>
        <w:t xml:space="preserve"> Point 9 in Imagine Housing Everyone: 10 proposals for the 2017 state budget and beyond, Shelter NSW.</w:t>
      </w:r>
    </w:p>
  </w:footnote>
  <w:footnote w:id="14">
    <w:p w:rsidR="00B53717" w:rsidRPr="000F6671" w:rsidRDefault="00B53717" w:rsidP="000F6671">
      <w:pPr>
        <w:rPr>
          <w:rFonts w:ascii="Arial" w:hAnsi="Arial" w:cs="Arial"/>
          <w:sz w:val="18"/>
          <w:szCs w:val="18"/>
        </w:rPr>
      </w:pPr>
      <w:r w:rsidRPr="000F6671">
        <w:rPr>
          <w:rStyle w:val="FootnoteReference"/>
          <w:rFonts w:ascii="Arial" w:hAnsi="Arial" w:cs="Arial"/>
          <w:sz w:val="18"/>
          <w:szCs w:val="18"/>
        </w:rPr>
        <w:footnoteRef/>
      </w:r>
      <w:r w:rsidRPr="000F6671">
        <w:rPr>
          <w:rFonts w:ascii="Arial" w:hAnsi="Arial" w:cs="Arial"/>
          <w:sz w:val="18"/>
          <w:szCs w:val="18"/>
        </w:rPr>
        <w:t xml:space="preserve"> Committee for Sydney - </w:t>
      </w:r>
      <w:r w:rsidRPr="000F6671">
        <w:rPr>
          <w:rFonts w:ascii="Arial" w:hAnsi="Arial" w:cs="Arial"/>
          <w:i/>
          <w:sz w:val="18"/>
          <w:szCs w:val="18"/>
        </w:rPr>
        <w:t xml:space="preserve">A City </w:t>
      </w:r>
      <w:proofErr w:type="gramStart"/>
      <w:r w:rsidRPr="000F6671">
        <w:rPr>
          <w:rFonts w:ascii="Arial" w:hAnsi="Arial" w:cs="Arial"/>
          <w:i/>
          <w:sz w:val="18"/>
          <w:szCs w:val="18"/>
        </w:rPr>
        <w:t>For</w:t>
      </w:r>
      <w:proofErr w:type="gramEnd"/>
      <w:r w:rsidRPr="000F6671">
        <w:rPr>
          <w:rFonts w:ascii="Arial" w:hAnsi="Arial" w:cs="Arial"/>
          <w:i/>
          <w:sz w:val="18"/>
          <w:szCs w:val="18"/>
        </w:rPr>
        <w:t xml:space="preserve"> All: Five game Changers For Housing Affordability In Sydney</w:t>
      </w:r>
      <w:r w:rsidRPr="000F6671">
        <w:rPr>
          <w:rFonts w:ascii="Arial" w:hAnsi="Arial" w:cs="Arial"/>
          <w:sz w:val="18"/>
          <w:szCs w:val="18"/>
        </w:rPr>
        <w:t>, August 2015.</w:t>
      </w:r>
    </w:p>
  </w:footnote>
  <w:footnote w:id="15">
    <w:p w:rsidR="00B53717" w:rsidRDefault="00B53717" w:rsidP="000F6671">
      <w:pPr>
        <w:pStyle w:val="FootnoteText"/>
      </w:pPr>
      <w:r w:rsidRPr="000F6671">
        <w:rPr>
          <w:rStyle w:val="FootnoteReference"/>
          <w:rFonts w:ascii="Arial" w:hAnsi="Arial" w:cs="Arial"/>
          <w:sz w:val="18"/>
          <w:szCs w:val="18"/>
        </w:rPr>
        <w:footnoteRef/>
      </w:r>
      <w:r w:rsidRPr="000F6671">
        <w:rPr>
          <w:rFonts w:ascii="Arial" w:hAnsi="Arial" w:cs="Arial"/>
          <w:sz w:val="18"/>
          <w:szCs w:val="18"/>
        </w:rPr>
        <w:t xml:space="preserve"> Richardson, Rebecca - </w:t>
      </w:r>
      <w:r w:rsidRPr="000F6671">
        <w:rPr>
          <w:rFonts w:ascii="Arial" w:hAnsi="Arial" w:cs="Arial"/>
          <w:i/>
          <w:sz w:val="18"/>
          <w:szCs w:val="18"/>
        </w:rPr>
        <w:t xml:space="preserve">Facilitating Affordable Housing Through Planning Mechanisms, </w:t>
      </w:r>
      <w:r w:rsidRPr="000F6671">
        <w:rPr>
          <w:rFonts w:ascii="Arial" w:hAnsi="Arial" w:cs="Arial"/>
          <w:sz w:val="18"/>
          <w:szCs w:val="18"/>
        </w:rPr>
        <w:t>April,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717" w:rsidRDefault="004B19B7">
    <w:pPr>
      <w:pStyle w:val="Header"/>
      <w:rPr>
        <w:rFonts w:cs="Arial"/>
        <w:noProof/>
        <w:color w:val="0000FF"/>
        <w:sz w:val="20"/>
        <w:lang w:val="en-AU" w:eastAsia="en-AU"/>
      </w:rPr>
    </w:pPr>
    <w:sdt>
      <w:sdtPr>
        <w:rPr>
          <w:rFonts w:cs="Arial"/>
          <w:noProof/>
          <w:color w:val="0000FF"/>
          <w:sz w:val="20"/>
          <w:lang w:val="en-AU" w:eastAsia="en-AU"/>
        </w:rPr>
        <w:id w:val="1791931814"/>
        <w:docPartObj>
          <w:docPartGallery w:val="Watermarks"/>
          <w:docPartUnique/>
        </w:docPartObj>
      </w:sdtPr>
      <w:sdtEndPr/>
      <w:sdtContent>
        <w:r>
          <w:rPr>
            <w:rFonts w:cs="Arial"/>
            <w:noProof/>
            <w:color w:val="0000FF"/>
            <w:sz w:val="20"/>
            <w:lang w:val="en-AU"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40961"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53717">
      <w:rPr>
        <w:rFonts w:cs="Arial"/>
        <w:noProof/>
        <w:color w:val="0000FF"/>
        <w:sz w:val="20"/>
        <w:lang w:val="en-AU" w:eastAsia="en-AU"/>
      </w:rPr>
      <w:drawing>
        <wp:inline distT="0" distB="0" distL="0" distR="0">
          <wp:extent cx="3381375" cy="9239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923925"/>
                  </a:xfrm>
                  <a:prstGeom prst="rect">
                    <a:avLst/>
                  </a:prstGeom>
                  <a:noFill/>
                  <a:ln>
                    <a:noFill/>
                  </a:ln>
                </pic:spPr>
              </pic:pic>
            </a:graphicData>
          </a:graphic>
        </wp:inline>
      </w:drawing>
    </w:r>
  </w:p>
  <w:p w:rsidR="00B53717" w:rsidRDefault="00B537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8D0"/>
    <w:multiLevelType w:val="hybridMultilevel"/>
    <w:tmpl w:val="64D48D60"/>
    <w:lvl w:ilvl="0" w:tplc="008AF628">
      <w:start w:val="1"/>
      <w:numFmt w:val="bullet"/>
      <w:lvlText w:val="•"/>
      <w:lvlJc w:val="left"/>
      <w:pPr>
        <w:tabs>
          <w:tab w:val="num" w:pos="720"/>
        </w:tabs>
        <w:ind w:left="720" w:hanging="360"/>
      </w:pPr>
      <w:rPr>
        <w:rFonts w:ascii="Times New Roman" w:hAnsi="Times New Roman" w:hint="default"/>
      </w:rPr>
    </w:lvl>
    <w:lvl w:ilvl="1" w:tplc="07D2597C" w:tentative="1">
      <w:start w:val="1"/>
      <w:numFmt w:val="bullet"/>
      <w:lvlText w:val="•"/>
      <w:lvlJc w:val="left"/>
      <w:pPr>
        <w:tabs>
          <w:tab w:val="num" w:pos="1440"/>
        </w:tabs>
        <w:ind w:left="1440" w:hanging="360"/>
      </w:pPr>
      <w:rPr>
        <w:rFonts w:ascii="Times New Roman" w:hAnsi="Times New Roman" w:hint="default"/>
      </w:rPr>
    </w:lvl>
    <w:lvl w:ilvl="2" w:tplc="6E368DFA" w:tentative="1">
      <w:start w:val="1"/>
      <w:numFmt w:val="bullet"/>
      <w:lvlText w:val="•"/>
      <w:lvlJc w:val="left"/>
      <w:pPr>
        <w:tabs>
          <w:tab w:val="num" w:pos="2160"/>
        </w:tabs>
        <w:ind w:left="2160" w:hanging="360"/>
      </w:pPr>
      <w:rPr>
        <w:rFonts w:ascii="Times New Roman" w:hAnsi="Times New Roman" w:hint="default"/>
      </w:rPr>
    </w:lvl>
    <w:lvl w:ilvl="3" w:tplc="2CAAE07A" w:tentative="1">
      <w:start w:val="1"/>
      <w:numFmt w:val="bullet"/>
      <w:lvlText w:val="•"/>
      <w:lvlJc w:val="left"/>
      <w:pPr>
        <w:tabs>
          <w:tab w:val="num" w:pos="2880"/>
        </w:tabs>
        <w:ind w:left="2880" w:hanging="360"/>
      </w:pPr>
      <w:rPr>
        <w:rFonts w:ascii="Times New Roman" w:hAnsi="Times New Roman" w:hint="default"/>
      </w:rPr>
    </w:lvl>
    <w:lvl w:ilvl="4" w:tplc="4B183B10" w:tentative="1">
      <w:start w:val="1"/>
      <w:numFmt w:val="bullet"/>
      <w:lvlText w:val="•"/>
      <w:lvlJc w:val="left"/>
      <w:pPr>
        <w:tabs>
          <w:tab w:val="num" w:pos="3600"/>
        </w:tabs>
        <w:ind w:left="3600" w:hanging="360"/>
      </w:pPr>
      <w:rPr>
        <w:rFonts w:ascii="Times New Roman" w:hAnsi="Times New Roman" w:hint="default"/>
      </w:rPr>
    </w:lvl>
    <w:lvl w:ilvl="5" w:tplc="3AECE2BE" w:tentative="1">
      <w:start w:val="1"/>
      <w:numFmt w:val="bullet"/>
      <w:lvlText w:val="•"/>
      <w:lvlJc w:val="left"/>
      <w:pPr>
        <w:tabs>
          <w:tab w:val="num" w:pos="4320"/>
        </w:tabs>
        <w:ind w:left="4320" w:hanging="360"/>
      </w:pPr>
      <w:rPr>
        <w:rFonts w:ascii="Times New Roman" w:hAnsi="Times New Roman" w:hint="default"/>
      </w:rPr>
    </w:lvl>
    <w:lvl w:ilvl="6" w:tplc="1F8A7880" w:tentative="1">
      <w:start w:val="1"/>
      <w:numFmt w:val="bullet"/>
      <w:lvlText w:val="•"/>
      <w:lvlJc w:val="left"/>
      <w:pPr>
        <w:tabs>
          <w:tab w:val="num" w:pos="5040"/>
        </w:tabs>
        <w:ind w:left="5040" w:hanging="360"/>
      </w:pPr>
      <w:rPr>
        <w:rFonts w:ascii="Times New Roman" w:hAnsi="Times New Roman" w:hint="default"/>
      </w:rPr>
    </w:lvl>
    <w:lvl w:ilvl="7" w:tplc="69F45346" w:tentative="1">
      <w:start w:val="1"/>
      <w:numFmt w:val="bullet"/>
      <w:lvlText w:val="•"/>
      <w:lvlJc w:val="left"/>
      <w:pPr>
        <w:tabs>
          <w:tab w:val="num" w:pos="5760"/>
        </w:tabs>
        <w:ind w:left="5760" w:hanging="360"/>
      </w:pPr>
      <w:rPr>
        <w:rFonts w:ascii="Times New Roman" w:hAnsi="Times New Roman" w:hint="default"/>
      </w:rPr>
    </w:lvl>
    <w:lvl w:ilvl="8" w:tplc="32F07C6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0A2FF4"/>
    <w:multiLevelType w:val="hybridMultilevel"/>
    <w:tmpl w:val="1494C4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9009AD"/>
    <w:multiLevelType w:val="hybridMultilevel"/>
    <w:tmpl w:val="AF18B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74D2C"/>
    <w:multiLevelType w:val="hybridMultilevel"/>
    <w:tmpl w:val="AB8A5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993833"/>
    <w:multiLevelType w:val="hybridMultilevel"/>
    <w:tmpl w:val="9CF04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E00B5F"/>
    <w:multiLevelType w:val="hybridMultilevel"/>
    <w:tmpl w:val="D5F01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0A5677"/>
    <w:multiLevelType w:val="hybridMultilevel"/>
    <w:tmpl w:val="C61CA174"/>
    <w:lvl w:ilvl="0" w:tplc="4CDAB598">
      <w:start w:val="1"/>
      <w:numFmt w:val="bullet"/>
      <w:lvlText w:val="•"/>
      <w:lvlJc w:val="left"/>
      <w:pPr>
        <w:tabs>
          <w:tab w:val="num" w:pos="720"/>
        </w:tabs>
        <w:ind w:left="720" w:hanging="360"/>
      </w:pPr>
      <w:rPr>
        <w:rFonts w:ascii="Times New Roman" w:hAnsi="Times New Roman" w:hint="default"/>
      </w:rPr>
    </w:lvl>
    <w:lvl w:ilvl="1" w:tplc="2E749696" w:tentative="1">
      <w:start w:val="1"/>
      <w:numFmt w:val="bullet"/>
      <w:lvlText w:val="•"/>
      <w:lvlJc w:val="left"/>
      <w:pPr>
        <w:tabs>
          <w:tab w:val="num" w:pos="1440"/>
        </w:tabs>
        <w:ind w:left="1440" w:hanging="360"/>
      </w:pPr>
      <w:rPr>
        <w:rFonts w:ascii="Times New Roman" w:hAnsi="Times New Roman" w:hint="default"/>
      </w:rPr>
    </w:lvl>
    <w:lvl w:ilvl="2" w:tplc="90602800" w:tentative="1">
      <w:start w:val="1"/>
      <w:numFmt w:val="bullet"/>
      <w:lvlText w:val="•"/>
      <w:lvlJc w:val="left"/>
      <w:pPr>
        <w:tabs>
          <w:tab w:val="num" w:pos="2160"/>
        </w:tabs>
        <w:ind w:left="2160" w:hanging="360"/>
      </w:pPr>
      <w:rPr>
        <w:rFonts w:ascii="Times New Roman" w:hAnsi="Times New Roman" w:hint="default"/>
      </w:rPr>
    </w:lvl>
    <w:lvl w:ilvl="3" w:tplc="0234D5F6" w:tentative="1">
      <w:start w:val="1"/>
      <w:numFmt w:val="bullet"/>
      <w:lvlText w:val="•"/>
      <w:lvlJc w:val="left"/>
      <w:pPr>
        <w:tabs>
          <w:tab w:val="num" w:pos="2880"/>
        </w:tabs>
        <w:ind w:left="2880" w:hanging="360"/>
      </w:pPr>
      <w:rPr>
        <w:rFonts w:ascii="Times New Roman" w:hAnsi="Times New Roman" w:hint="default"/>
      </w:rPr>
    </w:lvl>
    <w:lvl w:ilvl="4" w:tplc="E7EAA590" w:tentative="1">
      <w:start w:val="1"/>
      <w:numFmt w:val="bullet"/>
      <w:lvlText w:val="•"/>
      <w:lvlJc w:val="left"/>
      <w:pPr>
        <w:tabs>
          <w:tab w:val="num" w:pos="3600"/>
        </w:tabs>
        <w:ind w:left="3600" w:hanging="360"/>
      </w:pPr>
      <w:rPr>
        <w:rFonts w:ascii="Times New Roman" w:hAnsi="Times New Roman" w:hint="default"/>
      </w:rPr>
    </w:lvl>
    <w:lvl w:ilvl="5" w:tplc="F71C9738" w:tentative="1">
      <w:start w:val="1"/>
      <w:numFmt w:val="bullet"/>
      <w:lvlText w:val="•"/>
      <w:lvlJc w:val="left"/>
      <w:pPr>
        <w:tabs>
          <w:tab w:val="num" w:pos="4320"/>
        </w:tabs>
        <w:ind w:left="4320" w:hanging="360"/>
      </w:pPr>
      <w:rPr>
        <w:rFonts w:ascii="Times New Roman" w:hAnsi="Times New Roman" w:hint="default"/>
      </w:rPr>
    </w:lvl>
    <w:lvl w:ilvl="6" w:tplc="CF8827BE" w:tentative="1">
      <w:start w:val="1"/>
      <w:numFmt w:val="bullet"/>
      <w:lvlText w:val="•"/>
      <w:lvlJc w:val="left"/>
      <w:pPr>
        <w:tabs>
          <w:tab w:val="num" w:pos="5040"/>
        </w:tabs>
        <w:ind w:left="5040" w:hanging="360"/>
      </w:pPr>
      <w:rPr>
        <w:rFonts w:ascii="Times New Roman" w:hAnsi="Times New Roman" w:hint="default"/>
      </w:rPr>
    </w:lvl>
    <w:lvl w:ilvl="7" w:tplc="2BB637F0" w:tentative="1">
      <w:start w:val="1"/>
      <w:numFmt w:val="bullet"/>
      <w:lvlText w:val="•"/>
      <w:lvlJc w:val="left"/>
      <w:pPr>
        <w:tabs>
          <w:tab w:val="num" w:pos="5760"/>
        </w:tabs>
        <w:ind w:left="5760" w:hanging="360"/>
      </w:pPr>
      <w:rPr>
        <w:rFonts w:ascii="Times New Roman" w:hAnsi="Times New Roman" w:hint="default"/>
      </w:rPr>
    </w:lvl>
    <w:lvl w:ilvl="8" w:tplc="8054AC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F783C16"/>
    <w:multiLevelType w:val="hybridMultilevel"/>
    <w:tmpl w:val="C01EC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CF6F55"/>
    <w:multiLevelType w:val="hybridMultilevel"/>
    <w:tmpl w:val="D0304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EB6B25"/>
    <w:multiLevelType w:val="hybridMultilevel"/>
    <w:tmpl w:val="877AB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B6223F"/>
    <w:multiLevelType w:val="hybridMultilevel"/>
    <w:tmpl w:val="EB106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F55025"/>
    <w:multiLevelType w:val="hybridMultilevel"/>
    <w:tmpl w:val="ADEE16B0"/>
    <w:lvl w:ilvl="0" w:tplc="B616FEA8">
      <w:start w:val="1"/>
      <w:numFmt w:val="bullet"/>
      <w:lvlText w:val="•"/>
      <w:lvlJc w:val="left"/>
      <w:pPr>
        <w:tabs>
          <w:tab w:val="num" w:pos="720"/>
        </w:tabs>
        <w:ind w:left="720" w:hanging="360"/>
      </w:pPr>
      <w:rPr>
        <w:rFonts w:ascii="Times New Roman" w:hAnsi="Times New Roman" w:hint="default"/>
      </w:rPr>
    </w:lvl>
    <w:lvl w:ilvl="1" w:tplc="1A22F048" w:tentative="1">
      <w:start w:val="1"/>
      <w:numFmt w:val="bullet"/>
      <w:lvlText w:val="•"/>
      <w:lvlJc w:val="left"/>
      <w:pPr>
        <w:tabs>
          <w:tab w:val="num" w:pos="1440"/>
        </w:tabs>
        <w:ind w:left="1440" w:hanging="360"/>
      </w:pPr>
      <w:rPr>
        <w:rFonts w:ascii="Times New Roman" w:hAnsi="Times New Roman" w:hint="default"/>
      </w:rPr>
    </w:lvl>
    <w:lvl w:ilvl="2" w:tplc="99108DE0" w:tentative="1">
      <w:start w:val="1"/>
      <w:numFmt w:val="bullet"/>
      <w:lvlText w:val="•"/>
      <w:lvlJc w:val="left"/>
      <w:pPr>
        <w:tabs>
          <w:tab w:val="num" w:pos="2160"/>
        </w:tabs>
        <w:ind w:left="2160" w:hanging="360"/>
      </w:pPr>
      <w:rPr>
        <w:rFonts w:ascii="Times New Roman" w:hAnsi="Times New Roman" w:hint="default"/>
      </w:rPr>
    </w:lvl>
    <w:lvl w:ilvl="3" w:tplc="6D6ADB56" w:tentative="1">
      <w:start w:val="1"/>
      <w:numFmt w:val="bullet"/>
      <w:lvlText w:val="•"/>
      <w:lvlJc w:val="left"/>
      <w:pPr>
        <w:tabs>
          <w:tab w:val="num" w:pos="2880"/>
        </w:tabs>
        <w:ind w:left="2880" w:hanging="360"/>
      </w:pPr>
      <w:rPr>
        <w:rFonts w:ascii="Times New Roman" w:hAnsi="Times New Roman" w:hint="default"/>
      </w:rPr>
    </w:lvl>
    <w:lvl w:ilvl="4" w:tplc="F6A0DF9A" w:tentative="1">
      <w:start w:val="1"/>
      <w:numFmt w:val="bullet"/>
      <w:lvlText w:val="•"/>
      <w:lvlJc w:val="left"/>
      <w:pPr>
        <w:tabs>
          <w:tab w:val="num" w:pos="3600"/>
        </w:tabs>
        <w:ind w:left="3600" w:hanging="360"/>
      </w:pPr>
      <w:rPr>
        <w:rFonts w:ascii="Times New Roman" w:hAnsi="Times New Roman" w:hint="default"/>
      </w:rPr>
    </w:lvl>
    <w:lvl w:ilvl="5" w:tplc="CE3EB5B6" w:tentative="1">
      <w:start w:val="1"/>
      <w:numFmt w:val="bullet"/>
      <w:lvlText w:val="•"/>
      <w:lvlJc w:val="left"/>
      <w:pPr>
        <w:tabs>
          <w:tab w:val="num" w:pos="4320"/>
        </w:tabs>
        <w:ind w:left="4320" w:hanging="360"/>
      </w:pPr>
      <w:rPr>
        <w:rFonts w:ascii="Times New Roman" w:hAnsi="Times New Roman" w:hint="default"/>
      </w:rPr>
    </w:lvl>
    <w:lvl w:ilvl="6" w:tplc="BED45622" w:tentative="1">
      <w:start w:val="1"/>
      <w:numFmt w:val="bullet"/>
      <w:lvlText w:val="•"/>
      <w:lvlJc w:val="left"/>
      <w:pPr>
        <w:tabs>
          <w:tab w:val="num" w:pos="5040"/>
        </w:tabs>
        <w:ind w:left="5040" w:hanging="360"/>
      </w:pPr>
      <w:rPr>
        <w:rFonts w:ascii="Times New Roman" w:hAnsi="Times New Roman" w:hint="default"/>
      </w:rPr>
    </w:lvl>
    <w:lvl w:ilvl="7" w:tplc="B7A4C034" w:tentative="1">
      <w:start w:val="1"/>
      <w:numFmt w:val="bullet"/>
      <w:lvlText w:val="•"/>
      <w:lvlJc w:val="left"/>
      <w:pPr>
        <w:tabs>
          <w:tab w:val="num" w:pos="5760"/>
        </w:tabs>
        <w:ind w:left="5760" w:hanging="360"/>
      </w:pPr>
      <w:rPr>
        <w:rFonts w:ascii="Times New Roman" w:hAnsi="Times New Roman" w:hint="default"/>
      </w:rPr>
    </w:lvl>
    <w:lvl w:ilvl="8" w:tplc="2CEE00D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D150A77"/>
    <w:multiLevelType w:val="hybridMultilevel"/>
    <w:tmpl w:val="867E017C"/>
    <w:lvl w:ilvl="0" w:tplc="38B83F4E">
      <w:start w:val="1"/>
      <w:numFmt w:val="decimal"/>
      <w:lvlText w:val="%1."/>
      <w:lvlJc w:val="left"/>
      <w:pPr>
        <w:tabs>
          <w:tab w:val="num" w:pos="360"/>
        </w:tabs>
        <w:ind w:left="360" w:hanging="360"/>
      </w:pPr>
      <w:rPr>
        <w:rFonts w:ascii="Arial" w:eastAsia="Times New Roman" w:hAnsi="Arial" w:cs="Arial"/>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D42404"/>
    <w:multiLevelType w:val="hybridMultilevel"/>
    <w:tmpl w:val="B3DA269C"/>
    <w:lvl w:ilvl="0" w:tplc="B32A09AE">
      <w:start w:val="1"/>
      <w:numFmt w:val="bullet"/>
      <w:lvlText w:val="•"/>
      <w:lvlJc w:val="left"/>
      <w:pPr>
        <w:tabs>
          <w:tab w:val="num" w:pos="720"/>
        </w:tabs>
        <w:ind w:left="720" w:hanging="360"/>
      </w:pPr>
      <w:rPr>
        <w:rFonts w:ascii="Times New Roman" w:hAnsi="Times New Roman" w:hint="default"/>
      </w:rPr>
    </w:lvl>
    <w:lvl w:ilvl="1" w:tplc="B9C8CC0C" w:tentative="1">
      <w:start w:val="1"/>
      <w:numFmt w:val="bullet"/>
      <w:lvlText w:val="•"/>
      <w:lvlJc w:val="left"/>
      <w:pPr>
        <w:tabs>
          <w:tab w:val="num" w:pos="1440"/>
        </w:tabs>
        <w:ind w:left="1440" w:hanging="360"/>
      </w:pPr>
      <w:rPr>
        <w:rFonts w:ascii="Times New Roman" w:hAnsi="Times New Roman" w:hint="default"/>
      </w:rPr>
    </w:lvl>
    <w:lvl w:ilvl="2" w:tplc="71380C4C" w:tentative="1">
      <w:start w:val="1"/>
      <w:numFmt w:val="bullet"/>
      <w:lvlText w:val="•"/>
      <w:lvlJc w:val="left"/>
      <w:pPr>
        <w:tabs>
          <w:tab w:val="num" w:pos="2160"/>
        </w:tabs>
        <w:ind w:left="2160" w:hanging="360"/>
      </w:pPr>
      <w:rPr>
        <w:rFonts w:ascii="Times New Roman" w:hAnsi="Times New Roman" w:hint="default"/>
      </w:rPr>
    </w:lvl>
    <w:lvl w:ilvl="3" w:tplc="38E4FA5E" w:tentative="1">
      <w:start w:val="1"/>
      <w:numFmt w:val="bullet"/>
      <w:lvlText w:val="•"/>
      <w:lvlJc w:val="left"/>
      <w:pPr>
        <w:tabs>
          <w:tab w:val="num" w:pos="2880"/>
        </w:tabs>
        <w:ind w:left="2880" w:hanging="360"/>
      </w:pPr>
      <w:rPr>
        <w:rFonts w:ascii="Times New Roman" w:hAnsi="Times New Roman" w:hint="default"/>
      </w:rPr>
    </w:lvl>
    <w:lvl w:ilvl="4" w:tplc="6F56CA78" w:tentative="1">
      <w:start w:val="1"/>
      <w:numFmt w:val="bullet"/>
      <w:lvlText w:val="•"/>
      <w:lvlJc w:val="left"/>
      <w:pPr>
        <w:tabs>
          <w:tab w:val="num" w:pos="3600"/>
        </w:tabs>
        <w:ind w:left="3600" w:hanging="360"/>
      </w:pPr>
      <w:rPr>
        <w:rFonts w:ascii="Times New Roman" w:hAnsi="Times New Roman" w:hint="default"/>
      </w:rPr>
    </w:lvl>
    <w:lvl w:ilvl="5" w:tplc="D7FEC3F0" w:tentative="1">
      <w:start w:val="1"/>
      <w:numFmt w:val="bullet"/>
      <w:lvlText w:val="•"/>
      <w:lvlJc w:val="left"/>
      <w:pPr>
        <w:tabs>
          <w:tab w:val="num" w:pos="4320"/>
        </w:tabs>
        <w:ind w:left="4320" w:hanging="360"/>
      </w:pPr>
      <w:rPr>
        <w:rFonts w:ascii="Times New Roman" w:hAnsi="Times New Roman" w:hint="default"/>
      </w:rPr>
    </w:lvl>
    <w:lvl w:ilvl="6" w:tplc="6D5A8C72" w:tentative="1">
      <w:start w:val="1"/>
      <w:numFmt w:val="bullet"/>
      <w:lvlText w:val="•"/>
      <w:lvlJc w:val="left"/>
      <w:pPr>
        <w:tabs>
          <w:tab w:val="num" w:pos="5040"/>
        </w:tabs>
        <w:ind w:left="5040" w:hanging="360"/>
      </w:pPr>
      <w:rPr>
        <w:rFonts w:ascii="Times New Roman" w:hAnsi="Times New Roman" w:hint="default"/>
      </w:rPr>
    </w:lvl>
    <w:lvl w:ilvl="7" w:tplc="856024AE" w:tentative="1">
      <w:start w:val="1"/>
      <w:numFmt w:val="bullet"/>
      <w:lvlText w:val="•"/>
      <w:lvlJc w:val="left"/>
      <w:pPr>
        <w:tabs>
          <w:tab w:val="num" w:pos="5760"/>
        </w:tabs>
        <w:ind w:left="5760" w:hanging="360"/>
      </w:pPr>
      <w:rPr>
        <w:rFonts w:ascii="Times New Roman" w:hAnsi="Times New Roman" w:hint="default"/>
      </w:rPr>
    </w:lvl>
    <w:lvl w:ilvl="8" w:tplc="6B784D5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B943262"/>
    <w:multiLevelType w:val="hybridMultilevel"/>
    <w:tmpl w:val="1D268CF0"/>
    <w:lvl w:ilvl="0" w:tplc="7E74A97E">
      <w:start w:val="1"/>
      <w:numFmt w:val="bullet"/>
      <w:lvlText w:val="•"/>
      <w:lvlJc w:val="left"/>
      <w:pPr>
        <w:tabs>
          <w:tab w:val="num" w:pos="720"/>
        </w:tabs>
        <w:ind w:left="720" w:hanging="360"/>
      </w:pPr>
      <w:rPr>
        <w:rFonts w:ascii="Times New Roman" w:hAnsi="Times New Roman" w:hint="default"/>
      </w:rPr>
    </w:lvl>
    <w:lvl w:ilvl="1" w:tplc="D67E43F4" w:tentative="1">
      <w:start w:val="1"/>
      <w:numFmt w:val="bullet"/>
      <w:lvlText w:val="•"/>
      <w:lvlJc w:val="left"/>
      <w:pPr>
        <w:tabs>
          <w:tab w:val="num" w:pos="1440"/>
        </w:tabs>
        <w:ind w:left="1440" w:hanging="360"/>
      </w:pPr>
      <w:rPr>
        <w:rFonts w:ascii="Times New Roman" w:hAnsi="Times New Roman" w:hint="default"/>
      </w:rPr>
    </w:lvl>
    <w:lvl w:ilvl="2" w:tplc="6A049E1C" w:tentative="1">
      <w:start w:val="1"/>
      <w:numFmt w:val="bullet"/>
      <w:lvlText w:val="•"/>
      <w:lvlJc w:val="left"/>
      <w:pPr>
        <w:tabs>
          <w:tab w:val="num" w:pos="2160"/>
        </w:tabs>
        <w:ind w:left="2160" w:hanging="360"/>
      </w:pPr>
      <w:rPr>
        <w:rFonts w:ascii="Times New Roman" w:hAnsi="Times New Roman" w:hint="default"/>
      </w:rPr>
    </w:lvl>
    <w:lvl w:ilvl="3" w:tplc="41388DAA" w:tentative="1">
      <w:start w:val="1"/>
      <w:numFmt w:val="bullet"/>
      <w:lvlText w:val="•"/>
      <w:lvlJc w:val="left"/>
      <w:pPr>
        <w:tabs>
          <w:tab w:val="num" w:pos="2880"/>
        </w:tabs>
        <w:ind w:left="2880" w:hanging="360"/>
      </w:pPr>
      <w:rPr>
        <w:rFonts w:ascii="Times New Roman" w:hAnsi="Times New Roman" w:hint="default"/>
      </w:rPr>
    </w:lvl>
    <w:lvl w:ilvl="4" w:tplc="50BE10F4" w:tentative="1">
      <w:start w:val="1"/>
      <w:numFmt w:val="bullet"/>
      <w:lvlText w:val="•"/>
      <w:lvlJc w:val="left"/>
      <w:pPr>
        <w:tabs>
          <w:tab w:val="num" w:pos="3600"/>
        </w:tabs>
        <w:ind w:left="3600" w:hanging="360"/>
      </w:pPr>
      <w:rPr>
        <w:rFonts w:ascii="Times New Roman" w:hAnsi="Times New Roman" w:hint="default"/>
      </w:rPr>
    </w:lvl>
    <w:lvl w:ilvl="5" w:tplc="A708511A" w:tentative="1">
      <w:start w:val="1"/>
      <w:numFmt w:val="bullet"/>
      <w:lvlText w:val="•"/>
      <w:lvlJc w:val="left"/>
      <w:pPr>
        <w:tabs>
          <w:tab w:val="num" w:pos="4320"/>
        </w:tabs>
        <w:ind w:left="4320" w:hanging="360"/>
      </w:pPr>
      <w:rPr>
        <w:rFonts w:ascii="Times New Roman" w:hAnsi="Times New Roman" w:hint="default"/>
      </w:rPr>
    </w:lvl>
    <w:lvl w:ilvl="6" w:tplc="EB5E1CE6" w:tentative="1">
      <w:start w:val="1"/>
      <w:numFmt w:val="bullet"/>
      <w:lvlText w:val="•"/>
      <w:lvlJc w:val="left"/>
      <w:pPr>
        <w:tabs>
          <w:tab w:val="num" w:pos="5040"/>
        </w:tabs>
        <w:ind w:left="5040" w:hanging="360"/>
      </w:pPr>
      <w:rPr>
        <w:rFonts w:ascii="Times New Roman" w:hAnsi="Times New Roman" w:hint="default"/>
      </w:rPr>
    </w:lvl>
    <w:lvl w:ilvl="7" w:tplc="FB84C090" w:tentative="1">
      <w:start w:val="1"/>
      <w:numFmt w:val="bullet"/>
      <w:lvlText w:val="•"/>
      <w:lvlJc w:val="left"/>
      <w:pPr>
        <w:tabs>
          <w:tab w:val="num" w:pos="5760"/>
        </w:tabs>
        <w:ind w:left="5760" w:hanging="360"/>
      </w:pPr>
      <w:rPr>
        <w:rFonts w:ascii="Times New Roman" w:hAnsi="Times New Roman" w:hint="default"/>
      </w:rPr>
    </w:lvl>
    <w:lvl w:ilvl="8" w:tplc="CA26ACA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D4F0BD1"/>
    <w:multiLevelType w:val="multilevel"/>
    <w:tmpl w:val="4418A02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AB3371"/>
    <w:multiLevelType w:val="hybridMultilevel"/>
    <w:tmpl w:val="65F268EC"/>
    <w:lvl w:ilvl="0" w:tplc="B15A74F4">
      <w:start w:val="1"/>
      <w:numFmt w:val="bullet"/>
      <w:lvlText w:val="•"/>
      <w:lvlJc w:val="left"/>
      <w:pPr>
        <w:tabs>
          <w:tab w:val="num" w:pos="720"/>
        </w:tabs>
        <w:ind w:left="720" w:hanging="360"/>
      </w:pPr>
      <w:rPr>
        <w:rFonts w:ascii="Times New Roman" w:hAnsi="Times New Roman" w:hint="default"/>
      </w:rPr>
    </w:lvl>
    <w:lvl w:ilvl="1" w:tplc="3620B426" w:tentative="1">
      <w:start w:val="1"/>
      <w:numFmt w:val="bullet"/>
      <w:lvlText w:val="•"/>
      <w:lvlJc w:val="left"/>
      <w:pPr>
        <w:tabs>
          <w:tab w:val="num" w:pos="1440"/>
        </w:tabs>
        <w:ind w:left="1440" w:hanging="360"/>
      </w:pPr>
      <w:rPr>
        <w:rFonts w:ascii="Times New Roman" w:hAnsi="Times New Roman" w:hint="default"/>
      </w:rPr>
    </w:lvl>
    <w:lvl w:ilvl="2" w:tplc="C0DC55FC" w:tentative="1">
      <w:start w:val="1"/>
      <w:numFmt w:val="bullet"/>
      <w:lvlText w:val="•"/>
      <w:lvlJc w:val="left"/>
      <w:pPr>
        <w:tabs>
          <w:tab w:val="num" w:pos="2160"/>
        </w:tabs>
        <w:ind w:left="2160" w:hanging="360"/>
      </w:pPr>
      <w:rPr>
        <w:rFonts w:ascii="Times New Roman" w:hAnsi="Times New Roman" w:hint="default"/>
      </w:rPr>
    </w:lvl>
    <w:lvl w:ilvl="3" w:tplc="F75C08F2" w:tentative="1">
      <w:start w:val="1"/>
      <w:numFmt w:val="bullet"/>
      <w:lvlText w:val="•"/>
      <w:lvlJc w:val="left"/>
      <w:pPr>
        <w:tabs>
          <w:tab w:val="num" w:pos="2880"/>
        </w:tabs>
        <w:ind w:left="2880" w:hanging="360"/>
      </w:pPr>
      <w:rPr>
        <w:rFonts w:ascii="Times New Roman" w:hAnsi="Times New Roman" w:hint="default"/>
      </w:rPr>
    </w:lvl>
    <w:lvl w:ilvl="4" w:tplc="A09ACCF8" w:tentative="1">
      <w:start w:val="1"/>
      <w:numFmt w:val="bullet"/>
      <w:lvlText w:val="•"/>
      <w:lvlJc w:val="left"/>
      <w:pPr>
        <w:tabs>
          <w:tab w:val="num" w:pos="3600"/>
        </w:tabs>
        <w:ind w:left="3600" w:hanging="360"/>
      </w:pPr>
      <w:rPr>
        <w:rFonts w:ascii="Times New Roman" w:hAnsi="Times New Roman" w:hint="default"/>
      </w:rPr>
    </w:lvl>
    <w:lvl w:ilvl="5" w:tplc="C43A9334" w:tentative="1">
      <w:start w:val="1"/>
      <w:numFmt w:val="bullet"/>
      <w:lvlText w:val="•"/>
      <w:lvlJc w:val="left"/>
      <w:pPr>
        <w:tabs>
          <w:tab w:val="num" w:pos="4320"/>
        </w:tabs>
        <w:ind w:left="4320" w:hanging="360"/>
      </w:pPr>
      <w:rPr>
        <w:rFonts w:ascii="Times New Roman" w:hAnsi="Times New Roman" w:hint="default"/>
      </w:rPr>
    </w:lvl>
    <w:lvl w:ilvl="6" w:tplc="D9F8BA0C" w:tentative="1">
      <w:start w:val="1"/>
      <w:numFmt w:val="bullet"/>
      <w:lvlText w:val="•"/>
      <w:lvlJc w:val="left"/>
      <w:pPr>
        <w:tabs>
          <w:tab w:val="num" w:pos="5040"/>
        </w:tabs>
        <w:ind w:left="5040" w:hanging="360"/>
      </w:pPr>
      <w:rPr>
        <w:rFonts w:ascii="Times New Roman" w:hAnsi="Times New Roman" w:hint="default"/>
      </w:rPr>
    </w:lvl>
    <w:lvl w:ilvl="7" w:tplc="E7322B6A" w:tentative="1">
      <w:start w:val="1"/>
      <w:numFmt w:val="bullet"/>
      <w:lvlText w:val="•"/>
      <w:lvlJc w:val="left"/>
      <w:pPr>
        <w:tabs>
          <w:tab w:val="num" w:pos="5760"/>
        </w:tabs>
        <w:ind w:left="5760" w:hanging="360"/>
      </w:pPr>
      <w:rPr>
        <w:rFonts w:ascii="Times New Roman" w:hAnsi="Times New Roman" w:hint="default"/>
      </w:rPr>
    </w:lvl>
    <w:lvl w:ilvl="8" w:tplc="EAFC44B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23E4D72"/>
    <w:multiLevelType w:val="multilevel"/>
    <w:tmpl w:val="C20E2D0E"/>
    <w:lvl w:ilvl="0">
      <w:start w:val="1"/>
      <w:numFmt w:val="decimal"/>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18" w15:restartNumberingAfterBreak="0">
    <w:nsid w:val="5A634097"/>
    <w:multiLevelType w:val="hybridMultilevel"/>
    <w:tmpl w:val="4F82BAFA"/>
    <w:lvl w:ilvl="0" w:tplc="8AF6666E">
      <w:start w:val="1"/>
      <w:numFmt w:val="bullet"/>
      <w:lvlText w:val="•"/>
      <w:lvlJc w:val="left"/>
      <w:pPr>
        <w:tabs>
          <w:tab w:val="num" w:pos="720"/>
        </w:tabs>
        <w:ind w:left="720" w:hanging="360"/>
      </w:pPr>
      <w:rPr>
        <w:rFonts w:ascii="Times New Roman" w:hAnsi="Times New Roman" w:hint="default"/>
      </w:rPr>
    </w:lvl>
    <w:lvl w:ilvl="1" w:tplc="FB6E77C8" w:tentative="1">
      <w:start w:val="1"/>
      <w:numFmt w:val="bullet"/>
      <w:lvlText w:val="•"/>
      <w:lvlJc w:val="left"/>
      <w:pPr>
        <w:tabs>
          <w:tab w:val="num" w:pos="1440"/>
        </w:tabs>
        <w:ind w:left="1440" w:hanging="360"/>
      </w:pPr>
      <w:rPr>
        <w:rFonts w:ascii="Times New Roman" w:hAnsi="Times New Roman" w:hint="default"/>
      </w:rPr>
    </w:lvl>
    <w:lvl w:ilvl="2" w:tplc="90CC6B50" w:tentative="1">
      <w:start w:val="1"/>
      <w:numFmt w:val="bullet"/>
      <w:lvlText w:val="•"/>
      <w:lvlJc w:val="left"/>
      <w:pPr>
        <w:tabs>
          <w:tab w:val="num" w:pos="2160"/>
        </w:tabs>
        <w:ind w:left="2160" w:hanging="360"/>
      </w:pPr>
      <w:rPr>
        <w:rFonts w:ascii="Times New Roman" w:hAnsi="Times New Roman" w:hint="default"/>
      </w:rPr>
    </w:lvl>
    <w:lvl w:ilvl="3" w:tplc="47781994" w:tentative="1">
      <w:start w:val="1"/>
      <w:numFmt w:val="bullet"/>
      <w:lvlText w:val="•"/>
      <w:lvlJc w:val="left"/>
      <w:pPr>
        <w:tabs>
          <w:tab w:val="num" w:pos="2880"/>
        </w:tabs>
        <w:ind w:left="2880" w:hanging="360"/>
      </w:pPr>
      <w:rPr>
        <w:rFonts w:ascii="Times New Roman" w:hAnsi="Times New Roman" w:hint="default"/>
      </w:rPr>
    </w:lvl>
    <w:lvl w:ilvl="4" w:tplc="C55A917A" w:tentative="1">
      <w:start w:val="1"/>
      <w:numFmt w:val="bullet"/>
      <w:lvlText w:val="•"/>
      <w:lvlJc w:val="left"/>
      <w:pPr>
        <w:tabs>
          <w:tab w:val="num" w:pos="3600"/>
        </w:tabs>
        <w:ind w:left="3600" w:hanging="360"/>
      </w:pPr>
      <w:rPr>
        <w:rFonts w:ascii="Times New Roman" w:hAnsi="Times New Roman" w:hint="default"/>
      </w:rPr>
    </w:lvl>
    <w:lvl w:ilvl="5" w:tplc="5B148524" w:tentative="1">
      <w:start w:val="1"/>
      <w:numFmt w:val="bullet"/>
      <w:lvlText w:val="•"/>
      <w:lvlJc w:val="left"/>
      <w:pPr>
        <w:tabs>
          <w:tab w:val="num" w:pos="4320"/>
        </w:tabs>
        <w:ind w:left="4320" w:hanging="360"/>
      </w:pPr>
      <w:rPr>
        <w:rFonts w:ascii="Times New Roman" w:hAnsi="Times New Roman" w:hint="default"/>
      </w:rPr>
    </w:lvl>
    <w:lvl w:ilvl="6" w:tplc="19009800" w:tentative="1">
      <w:start w:val="1"/>
      <w:numFmt w:val="bullet"/>
      <w:lvlText w:val="•"/>
      <w:lvlJc w:val="left"/>
      <w:pPr>
        <w:tabs>
          <w:tab w:val="num" w:pos="5040"/>
        </w:tabs>
        <w:ind w:left="5040" w:hanging="360"/>
      </w:pPr>
      <w:rPr>
        <w:rFonts w:ascii="Times New Roman" w:hAnsi="Times New Roman" w:hint="default"/>
      </w:rPr>
    </w:lvl>
    <w:lvl w:ilvl="7" w:tplc="9BF6ADFA" w:tentative="1">
      <w:start w:val="1"/>
      <w:numFmt w:val="bullet"/>
      <w:lvlText w:val="•"/>
      <w:lvlJc w:val="left"/>
      <w:pPr>
        <w:tabs>
          <w:tab w:val="num" w:pos="5760"/>
        </w:tabs>
        <w:ind w:left="5760" w:hanging="360"/>
      </w:pPr>
      <w:rPr>
        <w:rFonts w:ascii="Times New Roman" w:hAnsi="Times New Roman" w:hint="default"/>
      </w:rPr>
    </w:lvl>
    <w:lvl w:ilvl="8" w:tplc="C4F4739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C35280E"/>
    <w:multiLevelType w:val="hybridMultilevel"/>
    <w:tmpl w:val="B8E0E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666173"/>
    <w:multiLevelType w:val="hybridMultilevel"/>
    <w:tmpl w:val="A2E6F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20722B"/>
    <w:multiLevelType w:val="hybridMultilevel"/>
    <w:tmpl w:val="4D18EB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8EE5110"/>
    <w:multiLevelType w:val="hybridMultilevel"/>
    <w:tmpl w:val="53A8E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5125D3"/>
    <w:multiLevelType w:val="hybridMultilevel"/>
    <w:tmpl w:val="75048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8E72B9"/>
    <w:multiLevelType w:val="hybridMultilevel"/>
    <w:tmpl w:val="FE5EF8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03402C"/>
    <w:multiLevelType w:val="hybridMultilevel"/>
    <w:tmpl w:val="3ED62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115F75"/>
    <w:multiLevelType w:val="hybridMultilevel"/>
    <w:tmpl w:val="869452DC"/>
    <w:lvl w:ilvl="0" w:tplc="56520F54">
      <w:start w:val="1"/>
      <w:numFmt w:val="bullet"/>
      <w:lvlText w:val="•"/>
      <w:lvlJc w:val="left"/>
      <w:pPr>
        <w:tabs>
          <w:tab w:val="num" w:pos="720"/>
        </w:tabs>
        <w:ind w:left="720" w:hanging="360"/>
      </w:pPr>
      <w:rPr>
        <w:rFonts w:ascii="Times New Roman" w:hAnsi="Times New Roman" w:hint="default"/>
      </w:rPr>
    </w:lvl>
    <w:lvl w:ilvl="1" w:tplc="5420E5B6" w:tentative="1">
      <w:start w:val="1"/>
      <w:numFmt w:val="bullet"/>
      <w:lvlText w:val="•"/>
      <w:lvlJc w:val="left"/>
      <w:pPr>
        <w:tabs>
          <w:tab w:val="num" w:pos="1440"/>
        </w:tabs>
        <w:ind w:left="1440" w:hanging="360"/>
      </w:pPr>
      <w:rPr>
        <w:rFonts w:ascii="Times New Roman" w:hAnsi="Times New Roman" w:hint="default"/>
      </w:rPr>
    </w:lvl>
    <w:lvl w:ilvl="2" w:tplc="30DA86DC" w:tentative="1">
      <w:start w:val="1"/>
      <w:numFmt w:val="bullet"/>
      <w:lvlText w:val="•"/>
      <w:lvlJc w:val="left"/>
      <w:pPr>
        <w:tabs>
          <w:tab w:val="num" w:pos="2160"/>
        </w:tabs>
        <w:ind w:left="2160" w:hanging="360"/>
      </w:pPr>
      <w:rPr>
        <w:rFonts w:ascii="Times New Roman" w:hAnsi="Times New Roman" w:hint="default"/>
      </w:rPr>
    </w:lvl>
    <w:lvl w:ilvl="3" w:tplc="1E3C62BC" w:tentative="1">
      <w:start w:val="1"/>
      <w:numFmt w:val="bullet"/>
      <w:lvlText w:val="•"/>
      <w:lvlJc w:val="left"/>
      <w:pPr>
        <w:tabs>
          <w:tab w:val="num" w:pos="2880"/>
        </w:tabs>
        <w:ind w:left="2880" w:hanging="360"/>
      </w:pPr>
      <w:rPr>
        <w:rFonts w:ascii="Times New Roman" w:hAnsi="Times New Roman" w:hint="default"/>
      </w:rPr>
    </w:lvl>
    <w:lvl w:ilvl="4" w:tplc="4C1C204E" w:tentative="1">
      <w:start w:val="1"/>
      <w:numFmt w:val="bullet"/>
      <w:lvlText w:val="•"/>
      <w:lvlJc w:val="left"/>
      <w:pPr>
        <w:tabs>
          <w:tab w:val="num" w:pos="3600"/>
        </w:tabs>
        <w:ind w:left="3600" w:hanging="360"/>
      </w:pPr>
      <w:rPr>
        <w:rFonts w:ascii="Times New Roman" w:hAnsi="Times New Roman" w:hint="default"/>
      </w:rPr>
    </w:lvl>
    <w:lvl w:ilvl="5" w:tplc="9BB032CC" w:tentative="1">
      <w:start w:val="1"/>
      <w:numFmt w:val="bullet"/>
      <w:lvlText w:val="•"/>
      <w:lvlJc w:val="left"/>
      <w:pPr>
        <w:tabs>
          <w:tab w:val="num" w:pos="4320"/>
        </w:tabs>
        <w:ind w:left="4320" w:hanging="360"/>
      </w:pPr>
      <w:rPr>
        <w:rFonts w:ascii="Times New Roman" w:hAnsi="Times New Roman" w:hint="default"/>
      </w:rPr>
    </w:lvl>
    <w:lvl w:ilvl="6" w:tplc="1AFA3AE0" w:tentative="1">
      <w:start w:val="1"/>
      <w:numFmt w:val="bullet"/>
      <w:lvlText w:val="•"/>
      <w:lvlJc w:val="left"/>
      <w:pPr>
        <w:tabs>
          <w:tab w:val="num" w:pos="5040"/>
        </w:tabs>
        <w:ind w:left="5040" w:hanging="360"/>
      </w:pPr>
      <w:rPr>
        <w:rFonts w:ascii="Times New Roman" w:hAnsi="Times New Roman" w:hint="default"/>
      </w:rPr>
    </w:lvl>
    <w:lvl w:ilvl="7" w:tplc="1BDE83E8" w:tentative="1">
      <w:start w:val="1"/>
      <w:numFmt w:val="bullet"/>
      <w:lvlText w:val="•"/>
      <w:lvlJc w:val="left"/>
      <w:pPr>
        <w:tabs>
          <w:tab w:val="num" w:pos="5760"/>
        </w:tabs>
        <w:ind w:left="5760" w:hanging="360"/>
      </w:pPr>
      <w:rPr>
        <w:rFonts w:ascii="Times New Roman" w:hAnsi="Times New Roman" w:hint="default"/>
      </w:rPr>
    </w:lvl>
    <w:lvl w:ilvl="8" w:tplc="C4E2A00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68945C5"/>
    <w:multiLevelType w:val="hybridMultilevel"/>
    <w:tmpl w:val="D132FEF6"/>
    <w:lvl w:ilvl="0" w:tplc="D5D26222">
      <w:start w:val="1"/>
      <w:numFmt w:val="bullet"/>
      <w:lvlText w:val="•"/>
      <w:lvlJc w:val="left"/>
      <w:pPr>
        <w:tabs>
          <w:tab w:val="num" w:pos="720"/>
        </w:tabs>
        <w:ind w:left="720" w:hanging="360"/>
      </w:pPr>
      <w:rPr>
        <w:rFonts w:ascii="Times New Roman" w:hAnsi="Times New Roman" w:hint="default"/>
      </w:rPr>
    </w:lvl>
    <w:lvl w:ilvl="1" w:tplc="4ED007C4" w:tentative="1">
      <w:start w:val="1"/>
      <w:numFmt w:val="bullet"/>
      <w:lvlText w:val="•"/>
      <w:lvlJc w:val="left"/>
      <w:pPr>
        <w:tabs>
          <w:tab w:val="num" w:pos="1440"/>
        </w:tabs>
        <w:ind w:left="1440" w:hanging="360"/>
      </w:pPr>
      <w:rPr>
        <w:rFonts w:ascii="Times New Roman" w:hAnsi="Times New Roman" w:hint="default"/>
      </w:rPr>
    </w:lvl>
    <w:lvl w:ilvl="2" w:tplc="25B28C44" w:tentative="1">
      <w:start w:val="1"/>
      <w:numFmt w:val="bullet"/>
      <w:lvlText w:val="•"/>
      <w:lvlJc w:val="left"/>
      <w:pPr>
        <w:tabs>
          <w:tab w:val="num" w:pos="2160"/>
        </w:tabs>
        <w:ind w:left="2160" w:hanging="360"/>
      </w:pPr>
      <w:rPr>
        <w:rFonts w:ascii="Times New Roman" w:hAnsi="Times New Roman" w:hint="default"/>
      </w:rPr>
    </w:lvl>
    <w:lvl w:ilvl="3" w:tplc="AE965326" w:tentative="1">
      <w:start w:val="1"/>
      <w:numFmt w:val="bullet"/>
      <w:lvlText w:val="•"/>
      <w:lvlJc w:val="left"/>
      <w:pPr>
        <w:tabs>
          <w:tab w:val="num" w:pos="2880"/>
        </w:tabs>
        <w:ind w:left="2880" w:hanging="360"/>
      </w:pPr>
      <w:rPr>
        <w:rFonts w:ascii="Times New Roman" w:hAnsi="Times New Roman" w:hint="default"/>
      </w:rPr>
    </w:lvl>
    <w:lvl w:ilvl="4" w:tplc="627C840C" w:tentative="1">
      <w:start w:val="1"/>
      <w:numFmt w:val="bullet"/>
      <w:lvlText w:val="•"/>
      <w:lvlJc w:val="left"/>
      <w:pPr>
        <w:tabs>
          <w:tab w:val="num" w:pos="3600"/>
        </w:tabs>
        <w:ind w:left="3600" w:hanging="360"/>
      </w:pPr>
      <w:rPr>
        <w:rFonts w:ascii="Times New Roman" w:hAnsi="Times New Roman" w:hint="default"/>
      </w:rPr>
    </w:lvl>
    <w:lvl w:ilvl="5" w:tplc="2DB0FD26" w:tentative="1">
      <w:start w:val="1"/>
      <w:numFmt w:val="bullet"/>
      <w:lvlText w:val="•"/>
      <w:lvlJc w:val="left"/>
      <w:pPr>
        <w:tabs>
          <w:tab w:val="num" w:pos="4320"/>
        </w:tabs>
        <w:ind w:left="4320" w:hanging="360"/>
      </w:pPr>
      <w:rPr>
        <w:rFonts w:ascii="Times New Roman" w:hAnsi="Times New Roman" w:hint="default"/>
      </w:rPr>
    </w:lvl>
    <w:lvl w:ilvl="6" w:tplc="42CAB132" w:tentative="1">
      <w:start w:val="1"/>
      <w:numFmt w:val="bullet"/>
      <w:lvlText w:val="•"/>
      <w:lvlJc w:val="left"/>
      <w:pPr>
        <w:tabs>
          <w:tab w:val="num" w:pos="5040"/>
        </w:tabs>
        <w:ind w:left="5040" w:hanging="360"/>
      </w:pPr>
      <w:rPr>
        <w:rFonts w:ascii="Times New Roman" w:hAnsi="Times New Roman" w:hint="default"/>
      </w:rPr>
    </w:lvl>
    <w:lvl w:ilvl="7" w:tplc="6F70932A" w:tentative="1">
      <w:start w:val="1"/>
      <w:numFmt w:val="bullet"/>
      <w:lvlText w:val="•"/>
      <w:lvlJc w:val="left"/>
      <w:pPr>
        <w:tabs>
          <w:tab w:val="num" w:pos="5760"/>
        </w:tabs>
        <w:ind w:left="5760" w:hanging="360"/>
      </w:pPr>
      <w:rPr>
        <w:rFonts w:ascii="Times New Roman" w:hAnsi="Times New Roman" w:hint="default"/>
      </w:rPr>
    </w:lvl>
    <w:lvl w:ilvl="8" w:tplc="4AA6208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BF24740"/>
    <w:multiLevelType w:val="hybridMultilevel"/>
    <w:tmpl w:val="62F81A52"/>
    <w:lvl w:ilvl="0" w:tplc="0A582660">
      <w:start w:val="1"/>
      <w:numFmt w:val="bullet"/>
      <w:lvlText w:val="•"/>
      <w:lvlJc w:val="left"/>
      <w:pPr>
        <w:tabs>
          <w:tab w:val="num" w:pos="720"/>
        </w:tabs>
        <w:ind w:left="720" w:hanging="360"/>
      </w:pPr>
      <w:rPr>
        <w:rFonts w:ascii="Times New Roman" w:hAnsi="Times New Roman" w:hint="default"/>
      </w:rPr>
    </w:lvl>
    <w:lvl w:ilvl="1" w:tplc="7F323B8C" w:tentative="1">
      <w:start w:val="1"/>
      <w:numFmt w:val="bullet"/>
      <w:lvlText w:val="•"/>
      <w:lvlJc w:val="left"/>
      <w:pPr>
        <w:tabs>
          <w:tab w:val="num" w:pos="1440"/>
        </w:tabs>
        <w:ind w:left="1440" w:hanging="360"/>
      </w:pPr>
      <w:rPr>
        <w:rFonts w:ascii="Times New Roman" w:hAnsi="Times New Roman" w:hint="default"/>
      </w:rPr>
    </w:lvl>
    <w:lvl w:ilvl="2" w:tplc="B4C8FDA8" w:tentative="1">
      <w:start w:val="1"/>
      <w:numFmt w:val="bullet"/>
      <w:lvlText w:val="•"/>
      <w:lvlJc w:val="left"/>
      <w:pPr>
        <w:tabs>
          <w:tab w:val="num" w:pos="2160"/>
        </w:tabs>
        <w:ind w:left="2160" w:hanging="360"/>
      </w:pPr>
      <w:rPr>
        <w:rFonts w:ascii="Times New Roman" w:hAnsi="Times New Roman" w:hint="default"/>
      </w:rPr>
    </w:lvl>
    <w:lvl w:ilvl="3" w:tplc="CD0C0514" w:tentative="1">
      <w:start w:val="1"/>
      <w:numFmt w:val="bullet"/>
      <w:lvlText w:val="•"/>
      <w:lvlJc w:val="left"/>
      <w:pPr>
        <w:tabs>
          <w:tab w:val="num" w:pos="2880"/>
        </w:tabs>
        <w:ind w:left="2880" w:hanging="360"/>
      </w:pPr>
      <w:rPr>
        <w:rFonts w:ascii="Times New Roman" w:hAnsi="Times New Roman" w:hint="default"/>
      </w:rPr>
    </w:lvl>
    <w:lvl w:ilvl="4" w:tplc="490017A6" w:tentative="1">
      <w:start w:val="1"/>
      <w:numFmt w:val="bullet"/>
      <w:lvlText w:val="•"/>
      <w:lvlJc w:val="left"/>
      <w:pPr>
        <w:tabs>
          <w:tab w:val="num" w:pos="3600"/>
        </w:tabs>
        <w:ind w:left="3600" w:hanging="360"/>
      </w:pPr>
      <w:rPr>
        <w:rFonts w:ascii="Times New Roman" w:hAnsi="Times New Roman" w:hint="default"/>
      </w:rPr>
    </w:lvl>
    <w:lvl w:ilvl="5" w:tplc="A2A62672" w:tentative="1">
      <w:start w:val="1"/>
      <w:numFmt w:val="bullet"/>
      <w:lvlText w:val="•"/>
      <w:lvlJc w:val="left"/>
      <w:pPr>
        <w:tabs>
          <w:tab w:val="num" w:pos="4320"/>
        </w:tabs>
        <w:ind w:left="4320" w:hanging="360"/>
      </w:pPr>
      <w:rPr>
        <w:rFonts w:ascii="Times New Roman" w:hAnsi="Times New Roman" w:hint="default"/>
      </w:rPr>
    </w:lvl>
    <w:lvl w:ilvl="6" w:tplc="624C51B4" w:tentative="1">
      <w:start w:val="1"/>
      <w:numFmt w:val="bullet"/>
      <w:lvlText w:val="•"/>
      <w:lvlJc w:val="left"/>
      <w:pPr>
        <w:tabs>
          <w:tab w:val="num" w:pos="5040"/>
        </w:tabs>
        <w:ind w:left="5040" w:hanging="360"/>
      </w:pPr>
      <w:rPr>
        <w:rFonts w:ascii="Times New Roman" w:hAnsi="Times New Roman" w:hint="default"/>
      </w:rPr>
    </w:lvl>
    <w:lvl w:ilvl="7" w:tplc="DB12C320" w:tentative="1">
      <w:start w:val="1"/>
      <w:numFmt w:val="bullet"/>
      <w:lvlText w:val="•"/>
      <w:lvlJc w:val="left"/>
      <w:pPr>
        <w:tabs>
          <w:tab w:val="num" w:pos="5760"/>
        </w:tabs>
        <w:ind w:left="5760" w:hanging="360"/>
      </w:pPr>
      <w:rPr>
        <w:rFonts w:ascii="Times New Roman" w:hAnsi="Times New Roman" w:hint="default"/>
      </w:rPr>
    </w:lvl>
    <w:lvl w:ilvl="8" w:tplc="5A8C1C9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CD12CA6"/>
    <w:multiLevelType w:val="hybridMultilevel"/>
    <w:tmpl w:val="1B669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C15808"/>
    <w:multiLevelType w:val="hybridMultilevel"/>
    <w:tmpl w:val="36DE6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4"/>
  </w:num>
  <w:num w:numId="4">
    <w:abstractNumId w:val="10"/>
  </w:num>
  <w:num w:numId="5">
    <w:abstractNumId w:val="15"/>
  </w:num>
  <w:num w:numId="6">
    <w:abstractNumId w:val="30"/>
  </w:num>
  <w:num w:numId="7">
    <w:abstractNumId w:val="29"/>
  </w:num>
  <w:num w:numId="8">
    <w:abstractNumId w:val="22"/>
  </w:num>
  <w:num w:numId="9">
    <w:abstractNumId w:val="4"/>
  </w:num>
  <w:num w:numId="10">
    <w:abstractNumId w:val="23"/>
  </w:num>
  <w:num w:numId="11">
    <w:abstractNumId w:val="5"/>
  </w:num>
  <w:num w:numId="12">
    <w:abstractNumId w:val="20"/>
  </w:num>
  <w:num w:numId="13">
    <w:abstractNumId w:val="16"/>
  </w:num>
  <w:num w:numId="14">
    <w:abstractNumId w:val="14"/>
  </w:num>
  <w:num w:numId="15">
    <w:abstractNumId w:val="18"/>
  </w:num>
  <w:num w:numId="16">
    <w:abstractNumId w:val="11"/>
  </w:num>
  <w:num w:numId="17">
    <w:abstractNumId w:val="6"/>
  </w:num>
  <w:num w:numId="18">
    <w:abstractNumId w:val="26"/>
  </w:num>
  <w:num w:numId="19">
    <w:abstractNumId w:val="27"/>
  </w:num>
  <w:num w:numId="20">
    <w:abstractNumId w:val="28"/>
  </w:num>
  <w:num w:numId="21">
    <w:abstractNumId w:val="0"/>
  </w:num>
  <w:num w:numId="22">
    <w:abstractNumId w:val="13"/>
  </w:num>
  <w:num w:numId="23">
    <w:abstractNumId w:val="1"/>
  </w:num>
  <w:num w:numId="24">
    <w:abstractNumId w:val="25"/>
  </w:num>
  <w:num w:numId="25">
    <w:abstractNumId w:val="9"/>
  </w:num>
  <w:num w:numId="26">
    <w:abstractNumId w:val="3"/>
  </w:num>
  <w:num w:numId="27">
    <w:abstractNumId w:val="8"/>
  </w:num>
  <w:num w:numId="28">
    <w:abstractNumId w:val="7"/>
  </w:num>
  <w:num w:numId="29">
    <w:abstractNumId w:val="19"/>
  </w:num>
  <w:num w:numId="30">
    <w:abstractNumId w:val="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AU"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2"/>
    <o:shapelayout v:ext="edit">
      <o:idmap v:ext="edit" data="4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79"/>
    <w:rsid w:val="000031FE"/>
    <w:rsid w:val="00011763"/>
    <w:rsid w:val="00017A69"/>
    <w:rsid w:val="0002115A"/>
    <w:rsid w:val="00031A8C"/>
    <w:rsid w:val="00037FC1"/>
    <w:rsid w:val="00042C14"/>
    <w:rsid w:val="000435A4"/>
    <w:rsid w:val="00045C88"/>
    <w:rsid w:val="0005023A"/>
    <w:rsid w:val="00070FE9"/>
    <w:rsid w:val="0007334D"/>
    <w:rsid w:val="00074235"/>
    <w:rsid w:val="00074CBA"/>
    <w:rsid w:val="00075DD5"/>
    <w:rsid w:val="00077688"/>
    <w:rsid w:val="00080113"/>
    <w:rsid w:val="00087E62"/>
    <w:rsid w:val="00087FA5"/>
    <w:rsid w:val="00094A3F"/>
    <w:rsid w:val="0009603A"/>
    <w:rsid w:val="000A2BF1"/>
    <w:rsid w:val="000A31CE"/>
    <w:rsid w:val="000A71BD"/>
    <w:rsid w:val="000B0362"/>
    <w:rsid w:val="000B277B"/>
    <w:rsid w:val="000B606A"/>
    <w:rsid w:val="000C296A"/>
    <w:rsid w:val="000C2A17"/>
    <w:rsid w:val="000C7EE2"/>
    <w:rsid w:val="000D3D8C"/>
    <w:rsid w:val="000D60A7"/>
    <w:rsid w:val="000E596A"/>
    <w:rsid w:val="000E64E5"/>
    <w:rsid w:val="000E6A84"/>
    <w:rsid w:val="000F403B"/>
    <w:rsid w:val="000F6671"/>
    <w:rsid w:val="001059D9"/>
    <w:rsid w:val="001078E7"/>
    <w:rsid w:val="00113E1B"/>
    <w:rsid w:val="00120279"/>
    <w:rsid w:val="00122310"/>
    <w:rsid w:val="0012433B"/>
    <w:rsid w:val="00125881"/>
    <w:rsid w:val="00125AF5"/>
    <w:rsid w:val="00132F07"/>
    <w:rsid w:val="0013399E"/>
    <w:rsid w:val="001459A9"/>
    <w:rsid w:val="00146C42"/>
    <w:rsid w:val="001660F8"/>
    <w:rsid w:val="001702F0"/>
    <w:rsid w:val="00171D40"/>
    <w:rsid w:val="001826D1"/>
    <w:rsid w:val="00185F87"/>
    <w:rsid w:val="001874CF"/>
    <w:rsid w:val="00190C43"/>
    <w:rsid w:val="00194B6B"/>
    <w:rsid w:val="00195286"/>
    <w:rsid w:val="001A385D"/>
    <w:rsid w:val="001A4ED9"/>
    <w:rsid w:val="001A77A6"/>
    <w:rsid w:val="001B3DFB"/>
    <w:rsid w:val="001B468E"/>
    <w:rsid w:val="001C49E1"/>
    <w:rsid w:val="001C4DED"/>
    <w:rsid w:val="001D0D96"/>
    <w:rsid w:val="001D1A71"/>
    <w:rsid w:val="001D69F4"/>
    <w:rsid w:val="001E2FE1"/>
    <w:rsid w:val="001E727C"/>
    <w:rsid w:val="001E7BA1"/>
    <w:rsid w:val="001F3473"/>
    <w:rsid w:val="001F569A"/>
    <w:rsid w:val="001F598F"/>
    <w:rsid w:val="001F5E2B"/>
    <w:rsid w:val="00220E1E"/>
    <w:rsid w:val="0022131D"/>
    <w:rsid w:val="00221EE2"/>
    <w:rsid w:val="0022240C"/>
    <w:rsid w:val="00222B4B"/>
    <w:rsid w:val="00223DF2"/>
    <w:rsid w:val="002301E3"/>
    <w:rsid w:val="00234FE2"/>
    <w:rsid w:val="00237CA1"/>
    <w:rsid w:val="00237EE1"/>
    <w:rsid w:val="002428DC"/>
    <w:rsid w:val="00246DA0"/>
    <w:rsid w:val="00262252"/>
    <w:rsid w:val="002706CA"/>
    <w:rsid w:val="0027447B"/>
    <w:rsid w:val="00277ABE"/>
    <w:rsid w:val="00282A37"/>
    <w:rsid w:val="00282F24"/>
    <w:rsid w:val="0029116F"/>
    <w:rsid w:val="002968F5"/>
    <w:rsid w:val="002A2BB1"/>
    <w:rsid w:val="002B2197"/>
    <w:rsid w:val="002B36C8"/>
    <w:rsid w:val="002B4894"/>
    <w:rsid w:val="002C302C"/>
    <w:rsid w:val="002C6E51"/>
    <w:rsid w:val="002C7AB3"/>
    <w:rsid w:val="002D3663"/>
    <w:rsid w:val="002E43D4"/>
    <w:rsid w:val="002E7BC1"/>
    <w:rsid w:val="002F11EE"/>
    <w:rsid w:val="002F381C"/>
    <w:rsid w:val="002F59E4"/>
    <w:rsid w:val="002F5A9E"/>
    <w:rsid w:val="002F5BF8"/>
    <w:rsid w:val="002F7D16"/>
    <w:rsid w:val="003068FD"/>
    <w:rsid w:val="00310421"/>
    <w:rsid w:val="0031170B"/>
    <w:rsid w:val="00316590"/>
    <w:rsid w:val="0031723E"/>
    <w:rsid w:val="00317AE2"/>
    <w:rsid w:val="0032029E"/>
    <w:rsid w:val="00324637"/>
    <w:rsid w:val="00326BFF"/>
    <w:rsid w:val="0032795F"/>
    <w:rsid w:val="0033484B"/>
    <w:rsid w:val="0033753F"/>
    <w:rsid w:val="0034383B"/>
    <w:rsid w:val="00344D6C"/>
    <w:rsid w:val="00346C26"/>
    <w:rsid w:val="003528BB"/>
    <w:rsid w:val="00355F8F"/>
    <w:rsid w:val="003579FE"/>
    <w:rsid w:val="00360DDF"/>
    <w:rsid w:val="003645C1"/>
    <w:rsid w:val="003731D8"/>
    <w:rsid w:val="00375B2B"/>
    <w:rsid w:val="0038354E"/>
    <w:rsid w:val="00390670"/>
    <w:rsid w:val="003906B0"/>
    <w:rsid w:val="00391109"/>
    <w:rsid w:val="0039233F"/>
    <w:rsid w:val="00394336"/>
    <w:rsid w:val="00394A6A"/>
    <w:rsid w:val="003B14E4"/>
    <w:rsid w:val="003B56D3"/>
    <w:rsid w:val="003B7BFE"/>
    <w:rsid w:val="003C0903"/>
    <w:rsid w:val="003C09BF"/>
    <w:rsid w:val="003C66C9"/>
    <w:rsid w:val="003D4357"/>
    <w:rsid w:val="003D78AF"/>
    <w:rsid w:val="003E3486"/>
    <w:rsid w:val="003F51BA"/>
    <w:rsid w:val="0040064F"/>
    <w:rsid w:val="00400B77"/>
    <w:rsid w:val="0040408A"/>
    <w:rsid w:val="00404BF1"/>
    <w:rsid w:val="0041030F"/>
    <w:rsid w:val="0041506D"/>
    <w:rsid w:val="004176F9"/>
    <w:rsid w:val="00417A88"/>
    <w:rsid w:val="004302D8"/>
    <w:rsid w:val="00432E25"/>
    <w:rsid w:val="00433374"/>
    <w:rsid w:val="00434BCE"/>
    <w:rsid w:val="00440961"/>
    <w:rsid w:val="00441A0D"/>
    <w:rsid w:val="004510DA"/>
    <w:rsid w:val="00451135"/>
    <w:rsid w:val="004572AC"/>
    <w:rsid w:val="00460822"/>
    <w:rsid w:val="0046540C"/>
    <w:rsid w:val="0047199B"/>
    <w:rsid w:val="00471F28"/>
    <w:rsid w:val="00472ACE"/>
    <w:rsid w:val="00472F8F"/>
    <w:rsid w:val="00476D69"/>
    <w:rsid w:val="00480FE9"/>
    <w:rsid w:val="00484467"/>
    <w:rsid w:val="0049053F"/>
    <w:rsid w:val="00493713"/>
    <w:rsid w:val="004A7E11"/>
    <w:rsid w:val="004B19B7"/>
    <w:rsid w:val="004B1C35"/>
    <w:rsid w:val="004B6932"/>
    <w:rsid w:val="004C0305"/>
    <w:rsid w:val="004C192C"/>
    <w:rsid w:val="004C5965"/>
    <w:rsid w:val="004C696E"/>
    <w:rsid w:val="004D305C"/>
    <w:rsid w:val="004E162D"/>
    <w:rsid w:val="004E38F7"/>
    <w:rsid w:val="004E537D"/>
    <w:rsid w:val="004E69E2"/>
    <w:rsid w:val="004F2995"/>
    <w:rsid w:val="00500207"/>
    <w:rsid w:val="00502CA4"/>
    <w:rsid w:val="00507171"/>
    <w:rsid w:val="00507CE9"/>
    <w:rsid w:val="005154E1"/>
    <w:rsid w:val="00515A04"/>
    <w:rsid w:val="00515CAC"/>
    <w:rsid w:val="00525013"/>
    <w:rsid w:val="00527FCC"/>
    <w:rsid w:val="0053079E"/>
    <w:rsid w:val="00532705"/>
    <w:rsid w:val="00534C64"/>
    <w:rsid w:val="00534D07"/>
    <w:rsid w:val="005359D6"/>
    <w:rsid w:val="00535DF1"/>
    <w:rsid w:val="00541D1E"/>
    <w:rsid w:val="005444CD"/>
    <w:rsid w:val="005453F8"/>
    <w:rsid w:val="00546516"/>
    <w:rsid w:val="00547F21"/>
    <w:rsid w:val="0055198F"/>
    <w:rsid w:val="00555E90"/>
    <w:rsid w:val="00557C40"/>
    <w:rsid w:val="00565220"/>
    <w:rsid w:val="00565E35"/>
    <w:rsid w:val="00566125"/>
    <w:rsid w:val="00572BE0"/>
    <w:rsid w:val="00577761"/>
    <w:rsid w:val="00585F73"/>
    <w:rsid w:val="00587019"/>
    <w:rsid w:val="00591E84"/>
    <w:rsid w:val="00592D55"/>
    <w:rsid w:val="005A4DE6"/>
    <w:rsid w:val="005A6CE2"/>
    <w:rsid w:val="005B13D1"/>
    <w:rsid w:val="005C23F4"/>
    <w:rsid w:val="005C66E6"/>
    <w:rsid w:val="005D63FE"/>
    <w:rsid w:val="005E177D"/>
    <w:rsid w:val="005E4E46"/>
    <w:rsid w:val="005F0EA3"/>
    <w:rsid w:val="005F4B8D"/>
    <w:rsid w:val="005F7016"/>
    <w:rsid w:val="005F7B3B"/>
    <w:rsid w:val="00603C77"/>
    <w:rsid w:val="0060542E"/>
    <w:rsid w:val="006109CF"/>
    <w:rsid w:val="006122DC"/>
    <w:rsid w:val="00612C9F"/>
    <w:rsid w:val="00620A8C"/>
    <w:rsid w:val="00620C8D"/>
    <w:rsid w:val="00621AE1"/>
    <w:rsid w:val="0062265D"/>
    <w:rsid w:val="0062370A"/>
    <w:rsid w:val="0062377B"/>
    <w:rsid w:val="00624936"/>
    <w:rsid w:val="006321E3"/>
    <w:rsid w:val="00632203"/>
    <w:rsid w:val="00636594"/>
    <w:rsid w:val="006371B1"/>
    <w:rsid w:val="006405AD"/>
    <w:rsid w:val="00644072"/>
    <w:rsid w:val="006530CD"/>
    <w:rsid w:val="00656468"/>
    <w:rsid w:val="00660A14"/>
    <w:rsid w:val="006658D7"/>
    <w:rsid w:val="00670552"/>
    <w:rsid w:val="00672DDF"/>
    <w:rsid w:val="00674407"/>
    <w:rsid w:val="00674DA4"/>
    <w:rsid w:val="00677444"/>
    <w:rsid w:val="006806AF"/>
    <w:rsid w:val="00680CFE"/>
    <w:rsid w:val="00682165"/>
    <w:rsid w:val="00684D61"/>
    <w:rsid w:val="00686846"/>
    <w:rsid w:val="0068769E"/>
    <w:rsid w:val="00687B40"/>
    <w:rsid w:val="006909EE"/>
    <w:rsid w:val="00693A3E"/>
    <w:rsid w:val="006A3282"/>
    <w:rsid w:val="006A37BA"/>
    <w:rsid w:val="006B118F"/>
    <w:rsid w:val="006B75B2"/>
    <w:rsid w:val="006C0C0C"/>
    <w:rsid w:val="006C1263"/>
    <w:rsid w:val="006D09F2"/>
    <w:rsid w:val="006D1724"/>
    <w:rsid w:val="006D726C"/>
    <w:rsid w:val="006D7BC2"/>
    <w:rsid w:val="006E0442"/>
    <w:rsid w:val="006E480D"/>
    <w:rsid w:val="006E499F"/>
    <w:rsid w:val="006E5039"/>
    <w:rsid w:val="006F13A0"/>
    <w:rsid w:val="006F1684"/>
    <w:rsid w:val="006F17DC"/>
    <w:rsid w:val="006F46D6"/>
    <w:rsid w:val="006F6E95"/>
    <w:rsid w:val="007008CA"/>
    <w:rsid w:val="00702799"/>
    <w:rsid w:val="00713842"/>
    <w:rsid w:val="007233DC"/>
    <w:rsid w:val="0072524D"/>
    <w:rsid w:val="00725422"/>
    <w:rsid w:val="00727493"/>
    <w:rsid w:val="00731696"/>
    <w:rsid w:val="00746AAC"/>
    <w:rsid w:val="00746DDD"/>
    <w:rsid w:val="00751865"/>
    <w:rsid w:val="00754972"/>
    <w:rsid w:val="0075678C"/>
    <w:rsid w:val="0075795B"/>
    <w:rsid w:val="007606E0"/>
    <w:rsid w:val="00761307"/>
    <w:rsid w:val="00761666"/>
    <w:rsid w:val="00761F1A"/>
    <w:rsid w:val="00767B14"/>
    <w:rsid w:val="007744EA"/>
    <w:rsid w:val="00774CE9"/>
    <w:rsid w:val="00783606"/>
    <w:rsid w:val="0078502F"/>
    <w:rsid w:val="00792715"/>
    <w:rsid w:val="007974E2"/>
    <w:rsid w:val="007A41FF"/>
    <w:rsid w:val="007A50EA"/>
    <w:rsid w:val="007A5A8D"/>
    <w:rsid w:val="007A6C92"/>
    <w:rsid w:val="007B3150"/>
    <w:rsid w:val="007B3DA2"/>
    <w:rsid w:val="007C2DA3"/>
    <w:rsid w:val="007D0A8A"/>
    <w:rsid w:val="007D37EF"/>
    <w:rsid w:val="007D7A10"/>
    <w:rsid w:val="007E509B"/>
    <w:rsid w:val="007E55ED"/>
    <w:rsid w:val="007F295A"/>
    <w:rsid w:val="007F2B9D"/>
    <w:rsid w:val="007F7807"/>
    <w:rsid w:val="00815326"/>
    <w:rsid w:val="00816905"/>
    <w:rsid w:val="00833485"/>
    <w:rsid w:val="00834360"/>
    <w:rsid w:val="0083469E"/>
    <w:rsid w:val="00837C6D"/>
    <w:rsid w:val="00845774"/>
    <w:rsid w:val="0084627F"/>
    <w:rsid w:val="008462B5"/>
    <w:rsid w:val="00850EAA"/>
    <w:rsid w:val="00851975"/>
    <w:rsid w:val="00856A12"/>
    <w:rsid w:val="00860F99"/>
    <w:rsid w:val="00864E5E"/>
    <w:rsid w:val="0086637E"/>
    <w:rsid w:val="00866608"/>
    <w:rsid w:val="0087023D"/>
    <w:rsid w:val="008809C5"/>
    <w:rsid w:val="0088273E"/>
    <w:rsid w:val="0088291A"/>
    <w:rsid w:val="00884A9C"/>
    <w:rsid w:val="008939A8"/>
    <w:rsid w:val="00896C8B"/>
    <w:rsid w:val="0089758E"/>
    <w:rsid w:val="00897ECF"/>
    <w:rsid w:val="008A08A5"/>
    <w:rsid w:val="008A2221"/>
    <w:rsid w:val="008A41BE"/>
    <w:rsid w:val="008A63B9"/>
    <w:rsid w:val="008C2B8A"/>
    <w:rsid w:val="008C2CBC"/>
    <w:rsid w:val="008C61AE"/>
    <w:rsid w:val="008C7BBD"/>
    <w:rsid w:val="008D6B22"/>
    <w:rsid w:val="008E08E7"/>
    <w:rsid w:val="008E10E6"/>
    <w:rsid w:val="008E51DB"/>
    <w:rsid w:val="008F411B"/>
    <w:rsid w:val="009045BC"/>
    <w:rsid w:val="00907E0F"/>
    <w:rsid w:val="00934BDC"/>
    <w:rsid w:val="0094358B"/>
    <w:rsid w:val="009448FA"/>
    <w:rsid w:val="00945E93"/>
    <w:rsid w:val="00947A22"/>
    <w:rsid w:val="00953289"/>
    <w:rsid w:val="00970219"/>
    <w:rsid w:val="00973926"/>
    <w:rsid w:val="00974E04"/>
    <w:rsid w:val="00975177"/>
    <w:rsid w:val="00976715"/>
    <w:rsid w:val="00976D48"/>
    <w:rsid w:val="00977255"/>
    <w:rsid w:val="00981DF7"/>
    <w:rsid w:val="00983741"/>
    <w:rsid w:val="0099370C"/>
    <w:rsid w:val="00995B35"/>
    <w:rsid w:val="009965CA"/>
    <w:rsid w:val="0099681F"/>
    <w:rsid w:val="009A04DE"/>
    <w:rsid w:val="009A5973"/>
    <w:rsid w:val="009B01AA"/>
    <w:rsid w:val="009B0257"/>
    <w:rsid w:val="009B05E7"/>
    <w:rsid w:val="009B5283"/>
    <w:rsid w:val="009B532B"/>
    <w:rsid w:val="009B6C33"/>
    <w:rsid w:val="009C3A8D"/>
    <w:rsid w:val="009C6DF3"/>
    <w:rsid w:val="009D07FE"/>
    <w:rsid w:val="009D0B0B"/>
    <w:rsid w:val="009D3800"/>
    <w:rsid w:val="009D3E36"/>
    <w:rsid w:val="009D4DDF"/>
    <w:rsid w:val="009D55F0"/>
    <w:rsid w:val="009D7E9B"/>
    <w:rsid w:val="009D7EB6"/>
    <w:rsid w:val="009E2D0E"/>
    <w:rsid w:val="009E4C84"/>
    <w:rsid w:val="009E629E"/>
    <w:rsid w:val="009E7169"/>
    <w:rsid w:val="009F191C"/>
    <w:rsid w:val="009F1BFE"/>
    <w:rsid w:val="009F2464"/>
    <w:rsid w:val="009F3852"/>
    <w:rsid w:val="00A055E8"/>
    <w:rsid w:val="00A05B19"/>
    <w:rsid w:val="00A10064"/>
    <w:rsid w:val="00A10434"/>
    <w:rsid w:val="00A1608C"/>
    <w:rsid w:val="00A165D8"/>
    <w:rsid w:val="00A16ECA"/>
    <w:rsid w:val="00A20897"/>
    <w:rsid w:val="00A22D8A"/>
    <w:rsid w:val="00A238B8"/>
    <w:rsid w:val="00A25B2D"/>
    <w:rsid w:val="00A37E2C"/>
    <w:rsid w:val="00A44BB3"/>
    <w:rsid w:val="00A50D3D"/>
    <w:rsid w:val="00A52850"/>
    <w:rsid w:val="00A557F2"/>
    <w:rsid w:val="00A6043E"/>
    <w:rsid w:val="00A71ED0"/>
    <w:rsid w:val="00A76445"/>
    <w:rsid w:val="00A8655B"/>
    <w:rsid w:val="00A877F7"/>
    <w:rsid w:val="00A905FF"/>
    <w:rsid w:val="00A923D9"/>
    <w:rsid w:val="00A949C1"/>
    <w:rsid w:val="00A96259"/>
    <w:rsid w:val="00AA6AD7"/>
    <w:rsid w:val="00AA7239"/>
    <w:rsid w:val="00AA7B99"/>
    <w:rsid w:val="00AA7C4A"/>
    <w:rsid w:val="00AB2710"/>
    <w:rsid w:val="00AB5F99"/>
    <w:rsid w:val="00AB5FEC"/>
    <w:rsid w:val="00AC390E"/>
    <w:rsid w:val="00AC6AD2"/>
    <w:rsid w:val="00AD018B"/>
    <w:rsid w:val="00AD0BAC"/>
    <w:rsid w:val="00AD2F1B"/>
    <w:rsid w:val="00AD628C"/>
    <w:rsid w:val="00AE0B29"/>
    <w:rsid w:val="00AE4EAE"/>
    <w:rsid w:val="00AE5098"/>
    <w:rsid w:val="00AE553C"/>
    <w:rsid w:val="00AE5C5D"/>
    <w:rsid w:val="00AF3EA5"/>
    <w:rsid w:val="00AF7A2B"/>
    <w:rsid w:val="00B06FA1"/>
    <w:rsid w:val="00B104E5"/>
    <w:rsid w:val="00B167BC"/>
    <w:rsid w:val="00B22EC6"/>
    <w:rsid w:val="00B34AF6"/>
    <w:rsid w:val="00B37648"/>
    <w:rsid w:val="00B4553F"/>
    <w:rsid w:val="00B53717"/>
    <w:rsid w:val="00B54662"/>
    <w:rsid w:val="00B623DF"/>
    <w:rsid w:val="00B63671"/>
    <w:rsid w:val="00B63DF0"/>
    <w:rsid w:val="00B664FB"/>
    <w:rsid w:val="00B7036C"/>
    <w:rsid w:val="00B71564"/>
    <w:rsid w:val="00B71616"/>
    <w:rsid w:val="00B7560A"/>
    <w:rsid w:val="00B77D6A"/>
    <w:rsid w:val="00B87852"/>
    <w:rsid w:val="00B931B7"/>
    <w:rsid w:val="00B94B66"/>
    <w:rsid w:val="00B96B31"/>
    <w:rsid w:val="00BA2960"/>
    <w:rsid w:val="00BB3992"/>
    <w:rsid w:val="00BB7195"/>
    <w:rsid w:val="00BC024C"/>
    <w:rsid w:val="00BC0DA3"/>
    <w:rsid w:val="00BC14A2"/>
    <w:rsid w:val="00BD44F3"/>
    <w:rsid w:val="00BE12CF"/>
    <w:rsid w:val="00BE142A"/>
    <w:rsid w:val="00BE2BBE"/>
    <w:rsid w:val="00BE4771"/>
    <w:rsid w:val="00BE4906"/>
    <w:rsid w:val="00BF0F6C"/>
    <w:rsid w:val="00BF62A6"/>
    <w:rsid w:val="00C00747"/>
    <w:rsid w:val="00C03764"/>
    <w:rsid w:val="00C05287"/>
    <w:rsid w:val="00C069D8"/>
    <w:rsid w:val="00C16EF0"/>
    <w:rsid w:val="00C241CD"/>
    <w:rsid w:val="00C24FA8"/>
    <w:rsid w:val="00C2691D"/>
    <w:rsid w:val="00C34C70"/>
    <w:rsid w:val="00C426CF"/>
    <w:rsid w:val="00C45E81"/>
    <w:rsid w:val="00C47322"/>
    <w:rsid w:val="00C508FB"/>
    <w:rsid w:val="00C632F4"/>
    <w:rsid w:val="00C64C6D"/>
    <w:rsid w:val="00C65290"/>
    <w:rsid w:val="00C7059C"/>
    <w:rsid w:val="00C710DE"/>
    <w:rsid w:val="00C73F6E"/>
    <w:rsid w:val="00C73FB7"/>
    <w:rsid w:val="00C768C6"/>
    <w:rsid w:val="00C76DC2"/>
    <w:rsid w:val="00C91516"/>
    <w:rsid w:val="00C9724C"/>
    <w:rsid w:val="00CA040C"/>
    <w:rsid w:val="00CA07D9"/>
    <w:rsid w:val="00CA0EF2"/>
    <w:rsid w:val="00CA42E3"/>
    <w:rsid w:val="00CC2F11"/>
    <w:rsid w:val="00CC64BE"/>
    <w:rsid w:val="00CD50F2"/>
    <w:rsid w:val="00CD560D"/>
    <w:rsid w:val="00CE11C1"/>
    <w:rsid w:val="00CE3770"/>
    <w:rsid w:val="00CF1B88"/>
    <w:rsid w:val="00CF4BEF"/>
    <w:rsid w:val="00CF530D"/>
    <w:rsid w:val="00CF6633"/>
    <w:rsid w:val="00CF7411"/>
    <w:rsid w:val="00CF7F8A"/>
    <w:rsid w:val="00D05285"/>
    <w:rsid w:val="00D05B9B"/>
    <w:rsid w:val="00D06463"/>
    <w:rsid w:val="00D06872"/>
    <w:rsid w:val="00D10A85"/>
    <w:rsid w:val="00D123C4"/>
    <w:rsid w:val="00D16324"/>
    <w:rsid w:val="00D213F9"/>
    <w:rsid w:val="00D2399B"/>
    <w:rsid w:val="00D33266"/>
    <w:rsid w:val="00D33997"/>
    <w:rsid w:val="00D351FB"/>
    <w:rsid w:val="00D35FA6"/>
    <w:rsid w:val="00D37DAB"/>
    <w:rsid w:val="00D46391"/>
    <w:rsid w:val="00D47673"/>
    <w:rsid w:val="00D522EA"/>
    <w:rsid w:val="00D52959"/>
    <w:rsid w:val="00D6294F"/>
    <w:rsid w:val="00D75456"/>
    <w:rsid w:val="00D84445"/>
    <w:rsid w:val="00D8528F"/>
    <w:rsid w:val="00D86B5F"/>
    <w:rsid w:val="00D90BB0"/>
    <w:rsid w:val="00D91685"/>
    <w:rsid w:val="00D91D69"/>
    <w:rsid w:val="00D931B4"/>
    <w:rsid w:val="00D93BC7"/>
    <w:rsid w:val="00D96A63"/>
    <w:rsid w:val="00DB07E0"/>
    <w:rsid w:val="00DB4138"/>
    <w:rsid w:val="00DB68BA"/>
    <w:rsid w:val="00DB7AC5"/>
    <w:rsid w:val="00DC359B"/>
    <w:rsid w:val="00DC5ECF"/>
    <w:rsid w:val="00DC6EFF"/>
    <w:rsid w:val="00DD2BF3"/>
    <w:rsid w:val="00DE57A4"/>
    <w:rsid w:val="00DE69DA"/>
    <w:rsid w:val="00DE785C"/>
    <w:rsid w:val="00DF22AD"/>
    <w:rsid w:val="00DF2A4A"/>
    <w:rsid w:val="00DF5385"/>
    <w:rsid w:val="00DF6790"/>
    <w:rsid w:val="00E00826"/>
    <w:rsid w:val="00E07727"/>
    <w:rsid w:val="00E12F63"/>
    <w:rsid w:val="00E217FE"/>
    <w:rsid w:val="00E23402"/>
    <w:rsid w:val="00E33701"/>
    <w:rsid w:val="00E34515"/>
    <w:rsid w:val="00E34584"/>
    <w:rsid w:val="00E37508"/>
    <w:rsid w:val="00E41CAB"/>
    <w:rsid w:val="00E4412C"/>
    <w:rsid w:val="00E46F87"/>
    <w:rsid w:val="00E4703F"/>
    <w:rsid w:val="00E50A31"/>
    <w:rsid w:val="00E56882"/>
    <w:rsid w:val="00E64AB2"/>
    <w:rsid w:val="00E667AA"/>
    <w:rsid w:val="00E72442"/>
    <w:rsid w:val="00E73027"/>
    <w:rsid w:val="00E801F5"/>
    <w:rsid w:val="00E8458B"/>
    <w:rsid w:val="00E8528F"/>
    <w:rsid w:val="00E91FAB"/>
    <w:rsid w:val="00E939E0"/>
    <w:rsid w:val="00E95DBF"/>
    <w:rsid w:val="00E95ED6"/>
    <w:rsid w:val="00E96D1F"/>
    <w:rsid w:val="00EA403B"/>
    <w:rsid w:val="00EA7F38"/>
    <w:rsid w:val="00EB006E"/>
    <w:rsid w:val="00EB0E56"/>
    <w:rsid w:val="00EB544E"/>
    <w:rsid w:val="00EB643C"/>
    <w:rsid w:val="00EC3B98"/>
    <w:rsid w:val="00ED7D44"/>
    <w:rsid w:val="00EE0FE7"/>
    <w:rsid w:val="00EE6DF2"/>
    <w:rsid w:val="00EF15E4"/>
    <w:rsid w:val="00EF4468"/>
    <w:rsid w:val="00EF4A9E"/>
    <w:rsid w:val="00F0000D"/>
    <w:rsid w:val="00F11725"/>
    <w:rsid w:val="00F11E48"/>
    <w:rsid w:val="00F16D03"/>
    <w:rsid w:val="00F2470E"/>
    <w:rsid w:val="00F26DFB"/>
    <w:rsid w:val="00F36B0A"/>
    <w:rsid w:val="00F456B0"/>
    <w:rsid w:val="00F53917"/>
    <w:rsid w:val="00F54365"/>
    <w:rsid w:val="00F54672"/>
    <w:rsid w:val="00F62741"/>
    <w:rsid w:val="00F634E1"/>
    <w:rsid w:val="00F64AAE"/>
    <w:rsid w:val="00F65BD4"/>
    <w:rsid w:val="00F707F7"/>
    <w:rsid w:val="00F71781"/>
    <w:rsid w:val="00F72BFC"/>
    <w:rsid w:val="00F73C32"/>
    <w:rsid w:val="00F75792"/>
    <w:rsid w:val="00F77215"/>
    <w:rsid w:val="00F7724D"/>
    <w:rsid w:val="00FA3E19"/>
    <w:rsid w:val="00FA5C01"/>
    <w:rsid w:val="00FB0929"/>
    <w:rsid w:val="00FB0BE3"/>
    <w:rsid w:val="00FB2D0C"/>
    <w:rsid w:val="00FB75D6"/>
    <w:rsid w:val="00FC0989"/>
    <w:rsid w:val="00FC215F"/>
    <w:rsid w:val="00FD0101"/>
    <w:rsid w:val="00FD10E4"/>
    <w:rsid w:val="00FD35F4"/>
    <w:rsid w:val="00FD7518"/>
    <w:rsid w:val="00FE031B"/>
    <w:rsid w:val="00FE5BAF"/>
    <w:rsid w:val="00FE7686"/>
    <w:rsid w:val="00FF1B16"/>
    <w:rsid w:val="00FF4E55"/>
    <w:rsid w:val="00FF6DF1"/>
    <w:rsid w:val="00FF7F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15:docId w15:val="{8F8C63D6-97DD-480A-847B-E8BD85D6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27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DUserMsg">
    <w:name w:val="CSDUserMsg"/>
    <w:basedOn w:val="Normal"/>
    <w:rsid w:val="00120279"/>
    <w:pPr>
      <w:jc w:val="center"/>
    </w:pPr>
    <w:rPr>
      <w:rFonts w:ascii="Arial" w:hAnsi="Arial"/>
      <w:b/>
      <w:szCs w:val="20"/>
      <w:lang w:val="en-AU"/>
    </w:rPr>
  </w:style>
  <w:style w:type="paragraph" w:customStyle="1" w:styleId="CSDSME">
    <w:name w:val="CSDSME"/>
    <w:basedOn w:val="Normal"/>
    <w:rsid w:val="00120279"/>
    <w:rPr>
      <w:rFonts w:ascii="Arial" w:hAnsi="Arial"/>
      <w:sz w:val="20"/>
      <w:szCs w:val="20"/>
      <w:lang w:val="en-AU"/>
    </w:rPr>
  </w:style>
  <w:style w:type="paragraph" w:customStyle="1" w:styleId="CSDPArea">
    <w:name w:val="CSDPArea"/>
    <w:basedOn w:val="Normal"/>
    <w:rsid w:val="00120279"/>
    <w:rPr>
      <w:rFonts w:ascii="Arial" w:hAnsi="Arial"/>
      <w:sz w:val="20"/>
      <w:szCs w:val="20"/>
      <w:lang w:val="en-AU"/>
    </w:rPr>
  </w:style>
  <w:style w:type="paragraph" w:customStyle="1" w:styleId="CSDApprover">
    <w:name w:val="CSDApprover"/>
    <w:basedOn w:val="Normal"/>
    <w:rsid w:val="00120279"/>
    <w:rPr>
      <w:rFonts w:ascii="Arial" w:hAnsi="Arial"/>
      <w:sz w:val="20"/>
      <w:szCs w:val="20"/>
      <w:lang w:val="en-AU"/>
    </w:rPr>
  </w:style>
  <w:style w:type="paragraph" w:customStyle="1" w:styleId="CSDIssue">
    <w:name w:val="CSDIssue"/>
    <w:basedOn w:val="Normal"/>
    <w:rsid w:val="00120279"/>
    <w:rPr>
      <w:rFonts w:ascii="Arial" w:hAnsi="Arial"/>
      <w:sz w:val="20"/>
      <w:szCs w:val="20"/>
      <w:lang w:val="en-AU"/>
    </w:rPr>
  </w:style>
  <w:style w:type="paragraph" w:customStyle="1" w:styleId="CSDPAspect">
    <w:name w:val="CSDPAspect"/>
    <w:basedOn w:val="Normal"/>
    <w:rsid w:val="00120279"/>
    <w:rPr>
      <w:rFonts w:ascii="Arial" w:hAnsi="Arial"/>
      <w:sz w:val="20"/>
      <w:szCs w:val="20"/>
      <w:lang w:val="en-AU"/>
    </w:rPr>
  </w:style>
  <w:style w:type="paragraph" w:customStyle="1" w:styleId="CSDREWDate">
    <w:name w:val="CSDREWDate"/>
    <w:basedOn w:val="Normal"/>
    <w:rsid w:val="00120279"/>
    <w:rPr>
      <w:rFonts w:ascii="Arial" w:hAnsi="Arial"/>
      <w:sz w:val="20"/>
      <w:szCs w:val="20"/>
      <w:lang w:val="en-AU"/>
    </w:rPr>
  </w:style>
  <w:style w:type="paragraph" w:customStyle="1" w:styleId="Table1">
    <w:name w:val="Table1"/>
    <w:basedOn w:val="Normal"/>
    <w:rsid w:val="00120279"/>
    <w:rPr>
      <w:rFonts w:ascii="Arial" w:hAnsi="Arial"/>
      <w:vanish/>
      <w:sz w:val="20"/>
      <w:szCs w:val="20"/>
      <w:lang w:val="en-AU"/>
    </w:rPr>
  </w:style>
  <w:style w:type="paragraph" w:customStyle="1" w:styleId="CSDComp">
    <w:name w:val="CSDComp"/>
    <w:basedOn w:val="Normal"/>
    <w:rsid w:val="00120279"/>
    <w:pPr>
      <w:jc w:val="center"/>
    </w:pPr>
    <w:rPr>
      <w:rFonts w:ascii="Arial" w:hAnsi="Arial"/>
      <w:b/>
      <w:sz w:val="32"/>
      <w:szCs w:val="20"/>
      <w:lang w:val="en-AU"/>
    </w:rPr>
  </w:style>
  <w:style w:type="paragraph" w:styleId="Header">
    <w:name w:val="header"/>
    <w:basedOn w:val="Normal"/>
    <w:rsid w:val="00120279"/>
    <w:pPr>
      <w:tabs>
        <w:tab w:val="center" w:pos="4320"/>
        <w:tab w:val="right" w:pos="8640"/>
      </w:tabs>
    </w:pPr>
  </w:style>
  <w:style w:type="paragraph" w:styleId="Footer">
    <w:name w:val="footer"/>
    <w:basedOn w:val="Normal"/>
    <w:rsid w:val="00120279"/>
    <w:pPr>
      <w:tabs>
        <w:tab w:val="center" w:pos="4320"/>
        <w:tab w:val="right" w:pos="8640"/>
      </w:tabs>
    </w:pPr>
  </w:style>
  <w:style w:type="paragraph" w:customStyle="1" w:styleId="Default">
    <w:name w:val="Default"/>
    <w:rsid w:val="004D305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2115A"/>
    <w:pPr>
      <w:ind w:left="720"/>
      <w:contextualSpacing/>
    </w:pPr>
  </w:style>
  <w:style w:type="paragraph" w:styleId="BalloonText">
    <w:name w:val="Balloon Text"/>
    <w:basedOn w:val="Normal"/>
    <w:link w:val="BalloonTextChar"/>
    <w:uiPriority w:val="99"/>
    <w:semiHidden/>
    <w:unhideWhenUsed/>
    <w:rsid w:val="009E629E"/>
    <w:rPr>
      <w:rFonts w:ascii="Tahoma" w:hAnsi="Tahoma" w:cs="Tahoma"/>
      <w:sz w:val="16"/>
      <w:szCs w:val="16"/>
    </w:rPr>
  </w:style>
  <w:style w:type="character" w:customStyle="1" w:styleId="BalloonTextChar">
    <w:name w:val="Balloon Text Char"/>
    <w:basedOn w:val="DefaultParagraphFont"/>
    <w:link w:val="BalloonText"/>
    <w:uiPriority w:val="99"/>
    <w:semiHidden/>
    <w:rsid w:val="009E629E"/>
    <w:rPr>
      <w:rFonts w:ascii="Tahoma" w:hAnsi="Tahoma" w:cs="Tahoma"/>
      <w:sz w:val="16"/>
      <w:szCs w:val="16"/>
      <w:lang w:val="en-US" w:eastAsia="en-US"/>
    </w:rPr>
  </w:style>
  <w:style w:type="paragraph" w:styleId="NormalWeb">
    <w:name w:val="Normal (Web)"/>
    <w:basedOn w:val="Normal"/>
    <w:uiPriority w:val="99"/>
    <w:semiHidden/>
    <w:unhideWhenUsed/>
    <w:rsid w:val="001C49E1"/>
    <w:pPr>
      <w:spacing w:before="100" w:beforeAutospacing="1" w:after="100" w:afterAutospacing="1"/>
    </w:pPr>
    <w:rPr>
      <w:lang w:val="en-AU" w:eastAsia="en-AU"/>
    </w:rPr>
  </w:style>
  <w:style w:type="paragraph" w:styleId="FootnoteText">
    <w:name w:val="footnote text"/>
    <w:basedOn w:val="Normal"/>
    <w:link w:val="FootnoteTextChar"/>
    <w:uiPriority w:val="99"/>
    <w:unhideWhenUsed/>
    <w:rsid w:val="0034383B"/>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rsid w:val="0034383B"/>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4383B"/>
    <w:rPr>
      <w:vertAlign w:val="superscript"/>
    </w:rPr>
  </w:style>
  <w:style w:type="paragraph" w:styleId="EndnoteText">
    <w:name w:val="endnote text"/>
    <w:basedOn w:val="Normal"/>
    <w:link w:val="EndnoteTextChar"/>
    <w:uiPriority w:val="99"/>
    <w:semiHidden/>
    <w:unhideWhenUsed/>
    <w:rsid w:val="00555E90"/>
    <w:rPr>
      <w:sz w:val="20"/>
      <w:szCs w:val="20"/>
    </w:rPr>
  </w:style>
  <w:style w:type="character" w:customStyle="1" w:styleId="EndnoteTextChar">
    <w:name w:val="Endnote Text Char"/>
    <w:basedOn w:val="DefaultParagraphFont"/>
    <w:link w:val="EndnoteText"/>
    <w:uiPriority w:val="99"/>
    <w:semiHidden/>
    <w:rsid w:val="00555E90"/>
    <w:rPr>
      <w:lang w:val="en-US" w:eastAsia="en-US"/>
    </w:rPr>
  </w:style>
  <w:style w:type="character" w:styleId="EndnoteReference">
    <w:name w:val="endnote reference"/>
    <w:basedOn w:val="DefaultParagraphFont"/>
    <w:uiPriority w:val="99"/>
    <w:semiHidden/>
    <w:unhideWhenUsed/>
    <w:rsid w:val="00555E90"/>
    <w:rPr>
      <w:vertAlign w:val="superscript"/>
    </w:rPr>
  </w:style>
  <w:style w:type="character" w:styleId="Hyperlink">
    <w:name w:val="Hyperlink"/>
    <w:basedOn w:val="DefaultParagraphFont"/>
    <w:uiPriority w:val="99"/>
    <w:unhideWhenUsed/>
    <w:rsid w:val="00C652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98958">
      <w:bodyDiv w:val="1"/>
      <w:marLeft w:val="0"/>
      <w:marRight w:val="0"/>
      <w:marTop w:val="0"/>
      <w:marBottom w:val="0"/>
      <w:divBdr>
        <w:top w:val="none" w:sz="0" w:space="0" w:color="auto"/>
        <w:left w:val="none" w:sz="0" w:space="0" w:color="auto"/>
        <w:bottom w:val="none" w:sz="0" w:space="0" w:color="auto"/>
        <w:right w:val="none" w:sz="0" w:space="0" w:color="auto"/>
      </w:divBdr>
      <w:divsChild>
        <w:div w:id="1649356090">
          <w:marLeft w:val="0"/>
          <w:marRight w:val="0"/>
          <w:marTop w:val="0"/>
          <w:marBottom w:val="0"/>
          <w:divBdr>
            <w:top w:val="none" w:sz="0" w:space="0" w:color="auto"/>
            <w:left w:val="none" w:sz="0" w:space="0" w:color="auto"/>
            <w:bottom w:val="none" w:sz="0" w:space="0" w:color="auto"/>
            <w:right w:val="none" w:sz="0" w:space="0" w:color="auto"/>
          </w:divBdr>
          <w:divsChild>
            <w:div w:id="858465669">
              <w:marLeft w:val="0"/>
              <w:marRight w:val="0"/>
              <w:marTop w:val="0"/>
              <w:marBottom w:val="0"/>
              <w:divBdr>
                <w:top w:val="none" w:sz="0" w:space="0" w:color="auto"/>
                <w:left w:val="none" w:sz="0" w:space="0" w:color="auto"/>
                <w:bottom w:val="none" w:sz="0" w:space="0" w:color="auto"/>
                <w:right w:val="none" w:sz="0" w:space="0" w:color="auto"/>
              </w:divBdr>
              <w:divsChild>
                <w:div w:id="247538772">
                  <w:marLeft w:val="0"/>
                  <w:marRight w:val="0"/>
                  <w:marTop w:val="0"/>
                  <w:marBottom w:val="0"/>
                  <w:divBdr>
                    <w:top w:val="none" w:sz="0" w:space="0" w:color="auto"/>
                    <w:left w:val="none" w:sz="0" w:space="0" w:color="auto"/>
                    <w:bottom w:val="none" w:sz="0" w:space="0" w:color="auto"/>
                    <w:right w:val="none" w:sz="0" w:space="0" w:color="auto"/>
                  </w:divBdr>
                  <w:divsChild>
                    <w:div w:id="1391617982">
                      <w:marLeft w:val="0"/>
                      <w:marRight w:val="0"/>
                      <w:marTop w:val="0"/>
                      <w:marBottom w:val="0"/>
                      <w:divBdr>
                        <w:top w:val="none" w:sz="0" w:space="0" w:color="auto"/>
                        <w:left w:val="none" w:sz="0" w:space="0" w:color="auto"/>
                        <w:bottom w:val="none" w:sz="0" w:space="0" w:color="auto"/>
                        <w:right w:val="none" w:sz="0" w:space="0" w:color="auto"/>
                      </w:divBdr>
                      <w:divsChild>
                        <w:div w:id="1432509222">
                          <w:marLeft w:val="0"/>
                          <w:marRight w:val="0"/>
                          <w:marTop w:val="0"/>
                          <w:marBottom w:val="0"/>
                          <w:divBdr>
                            <w:top w:val="none" w:sz="0" w:space="0" w:color="auto"/>
                            <w:left w:val="none" w:sz="0" w:space="0" w:color="auto"/>
                            <w:bottom w:val="none" w:sz="0" w:space="0" w:color="auto"/>
                            <w:right w:val="none" w:sz="0" w:space="0" w:color="auto"/>
                          </w:divBdr>
                          <w:divsChild>
                            <w:div w:id="939072399">
                              <w:marLeft w:val="15"/>
                              <w:marRight w:val="195"/>
                              <w:marTop w:val="0"/>
                              <w:marBottom w:val="0"/>
                              <w:divBdr>
                                <w:top w:val="none" w:sz="0" w:space="0" w:color="auto"/>
                                <w:left w:val="none" w:sz="0" w:space="0" w:color="auto"/>
                                <w:bottom w:val="none" w:sz="0" w:space="0" w:color="auto"/>
                                <w:right w:val="none" w:sz="0" w:space="0" w:color="auto"/>
                              </w:divBdr>
                              <w:divsChild>
                                <w:div w:id="450636831">
                                  <w:marLeft w:val="0"/>
                                  <w:marRight w:val="0"/>
                                  <w:marTop w:val="0"/>
                                  <w:marBottom w:val="0"/>
                                  <w:divBdr>
                                    <w:top w:val="none" w:sz="0" w:space="0" w:color="auto"/>
                                    <w:left w:val="none" w:sz="0" w:space="0" w:color="auto"/>
                                    <w:bottom w:val="none" w:sz="0" w:space="0" w:color="auto"/>
                                    <w:right w:val="none" w:sz="0" w:space="0" w:color="auto"/>
                                  </w:divBdr>
                                  <w:divsChild>
                                    <w:div w:id="1088816923">
                                      <w:marLeft w:val="0"/>
                                      <w:marRight w:val="0"/>
                                      <w:marTop w:val="0"/>
                                      <w:marBottom w:val="0"/>
                                      <w:divBdr>
                                        <w:top w:val="none" w:sz="0" w:space="0" w:color="auto"/>
                                        <w:left w:val="none" w:sz="0" w:space="0" w:color="auto"/>
                                        <w:bottom w:val="none" w:sz="0" w:space="0" w:color="auto"/>
                                        <w:right w:val="none" w:sz="0" w:space="0" w:color="auto"/>
                                      </w:divBdr>
                                      <w:divsChild>
                                        <w:div w:id="1659841971">
                                          <w:marLeft w:val="0"/>
                                          <w:marRight w:val="0"/>
                                          <w:marTop w:val="0"/>
                                          <w:marBottom w:val="0"/>
                                          <w:divBdr>
                                            <w:top w:val="none" w:sz="0" w:space="0" w:color="auto"/>
                                            <w:left w:val="none" w:sz="0" w:space="0" w:color="auto"/>
                                            <w:bottom w:val="none" w:sz="0" w:space="0" w:color="auto"/>
                                            <w:right w:val="none" w:sz="0" w:space="0" w:color="auto"/>
                                          </w:divBdr>
                                          <w:divsChild>
                                            <w:div w:id="345327176">
                                              <w:marLeft w:val="0"/>
                                              <w:marRight w:val="0"/>
                                              <w:marTop w:val="0"/>
                                              <w:marBottom w:val="0"/>
                                              <w:divBdr>
                                                <w:top w:val="none" w:sz="0" w:space="0" w:color="auto"/>
                                                <w:left w:val="none" w:sz="0" w:space="0" w:color="auto"/>
                                                <w:bottom w:val="none" w:sz="0" w:space="0" w:color="auto"/>
                                                <w:right w:val="none" w:sz="0" w:space="0" w:color="auto"/>
                                              </w:divBdr>
                                              <w:divsChild>
                                                <w:div w:id="816141619">
                                                  <w:marLeft w:val="0"/>
                                                  <w:marRight w:val="0"/>
                                                  <w:marTop w:val="0"/>
                                                  <w:marBottom w:val="0"/>
                                                  <w:divBdr>
                                                    <w:top w:val="none" w:sz="0" w:space="0" w:color="auto"/>
                                                    <w:left w:val="none" w:sz="0" w:space="0" w:color="auto"/>
                                                    <w:bottom w:val="none" w:sz="0" w:space="0" w:color="auto"/>
                                                    <w:right w:val="none" w:sz="0" w:space="0" w:color="auto"/>
                                                  </w:divBdr>
                                                  <w:divsChild>
                                                    <w:div w:id="990717656">
                                                      <w:marLeft w:val="0"/>
                                                      <w:marRight w:val="0"/>
                                                      <w:marTop w:val="0"/>
                                                      <w:marBottom w:val="0"/>
                                                      <w:divBdr>
                                                        <w:top w:val="none" w:sz="0" w:space="0" w:color="auto"/>
                                                        <w:left w:val="none" w:sz="0" w:space="0" w:color="auto"/>
                                                        <w:bottom w:val="none" w:sz="0" w:space="0" w:color="auto"/>
                                                        <w:right w:val="none" w:sz="0" w:space="0" w:color="auto"/>
                                                      </w:divBdr>
                                                      <w:divsChild>
                                                        <w:div w:id="258876390">
                                                          <w:marLeft w:val="0"/>
                                                          <w:marRight w:val="0"/>
                                                          <w:marTop w:val="0"/>
                                                          <w:marBottom w:val="0"/>
                                                          <w:divBdr>
                                                            <w:top w:val="none" w:sz="0" w:space="0" w:color="auto"/>
                                                            <w:left w:val="none" w:sz="0" w:space="0" w:color="auto"/>
                                                            <w:bottom w:val="none" w:sz="0" w:space="0" w:color="auto"/>
                                                            <w:right w:val="none" w:sz="0" w:space="0" w:color="auto"/>
                                                          </w:divBdr>
                                                          <w:divsChild>
                                                            <w:div w:id="1764304569">
                                                              <w:marLeft w:val="0"/>
                                                              <w:marRight w:val="0"/>
                                                              <w:marTop w:val="0"/>
                                                              <w:marBottom w:val="0"/>
                                                              <w:divBdr>
                                                                <w:top w:val="none" w:sz="0" w:space="0" w:color="auto"/>
                                                                <w:left w:val="none" w:sz="0" w:space="0" w:color="auto"/>
                                                                <w:bottom w:val="none" w:sz="0" w:space="0" w:color="auto"/>
                                                                <w:right w:val="none" w:sz="0" w:space="0" w:color="auto"/>
                                                              </w:divBdr>
                                                              <w:divsChild>
                                                                <w:div w:id="1753695673">
                                                                  <w:marLeft w:val="0"/>
                                                                  <w:marRight w:val="0"/>
                                                                  <w:marTop w:val="735"/>
                                                                  <w:marBottom w:val="0"/>
                                                                  <w:divBdr>
                                                                    <w:top w:val="none" w:sz="0" w:space="0" w:color="auto"/>
                                                                    <w:left w:val="none" w:sz="0" w:space="0" w:color="auto"/>
                                                                    <w:bottom w:val="none" w:sz="0" w:space="0" w:color="auto"/>
                                                                    <w:right w:val="none" w:sz="0" w:space="0" w:color="auto"/>
                                                                  </w:divBdr>
                                                                  <w:divsChild>
                                                                    <w:div w:id="1710452229">
                                                                      <w:marLeft w:val="450"/>
                                                                      <w:marRight w:val="450"/>
                                                                      <w:marTop w:val="0"/>
                                                                      <w:marBottom w:val="0"/>
                                                                      <w:divBdr>
                                                                        <w:top w:val="none" w:sz="0" w:space="0" w:color="auto"/>
                                                                        <w:left w:val="none" w:sz="0" w:space="0" w:color="auto"/>
                                                                        <w:bottom w:val="none" w:sz="0" w:space="0" w:color="auto"/>
                                                                        <w:right w:val="none" w:sz="0" w:space="0" w:color="auto"/>
                                                                      </w:divBdr>
                                                                      <w:divsChild>
                                                                        <w:div w:id="589660151">
                                                                          <w:marLeft w:val="0"/>
                                                                          <w:marRight w:val="45"/>
                                                                          <w:marTop w:val="45"/>
                                                                          <w:marBottom w:val="0"/>
                                                                          <w:divBdr>
                                                                            <w:top w:val="none" w:sz="0" w:space="0" w:color="auto"/>
                                                                            <w:left w:val="none" w:sz="0" w:space="0" w:color="auto"/>
                                                                            <w:bottom w:val="none" w:sz="0" w:space="0" w:color="auto"/>
                                                                            <w:right w:val="none" w:sz="0" w:space="0" w:color="auto"/>
                                                                          </w:divBdr>
                                                                          <w:divsChild>
                                                                            <w:div w:id="508565153">
                                                                              <w:marLeft w:val="0"/>
                                                                              <w:marRight w:val="0"/>
                                                                              <w:marTop w:val="0"/>
                                                                              <w:marBottom w:val="0"/>
                                                                              <w:divBdr>
                                                                                <w:top w:val="none" w:sz="0" w:space="0" w:color="auto"/>
                                                                                <w:left w:val="none" w:sz="0" w:space="0" w:color="auto"/>
                                                                                <w:bottom w:val="none" w:sz="0" w:space="0" w:color="auto"/>
                                                                                <w:right w:val="none" w:sz="0" w:space="0" w:color="auto"/>
                                                                              </w:divBdr>
                                                                              <w:divsChild>
                                                                                <w:div w:id="1866290476">
                                                                                  <w:marLeft w:val="0"/>
                                                                                  <w:marRight w:val="0"/>
                                                                                  <w:marTop w:val="0"/>
                                                                                  <w:marBottom w:val="0"/>
                                                                                  <w:divBdr>
                                                                                    <w:top w:val="none" w:sz="0" w:space="0" w:color="auto"/>
                                                                                    <w:left w:val="none" w:sz="0" w:space="0" w:color="auto"/>
                                                                                    <w:bottom w:val="none" w:sz="0" w:space="0" w:color="auto"/>
                                                                                    <w:right w:val="none" w:sz="0" w:space="0" w:color="auto"/>
                                                                                  </w:divBdr>
                                                                                  <w:divsChild>
                                                                                    <w:div w:id="157499890">
                                                                                      <w:marLeft w:val="0"/>
                                                                                      <w:marRight w:val="0"/>
                                                                                      <w:marTop w:val="0"/>
                                                                                      <w:marBottom w:val="0"/>
                                                                                      <w:divBdr>
                                                                                        <w:top w:val="none" w:sz="0" w:space="0" w:color="auto"/>
                                                                                        <w:left w:val="single" w:sz="6" w:space="0" w:color="auto"/>
                                                                                        <w:bottom w:val="none" w:sz="0" w:space="0" w:color="auto"/>
                                                                                        <w:right w:val="single" w:sz="6" w:space="0" w:color="auto"/>
                                                                                      </w:divBdr>
                                                                                      <w:divsChild>
                                                                                        <w:div w:id="1087464258">
                                                                                          <w:marLeft w:val="150"/>
                                                                                          <w:marRight w:val="150"/>
                                                                                          <w:marTop w:val="0"/>
                                                                                          <w:marBottom w:val="0"/>
                                                                                          <w:divBdr>
                                                                                            <w:top w:val="none" w:sz="0" w:space="0" w:color="auto"/>
                                                                                            <w:left w:val="none" w:sz="0" w:space="0" w:color="auto"/>
                                                                                            <w:bottom w:val="none" w:sz="0" w:space="0" w:color="auto"/>
                                                                                            <w:right w:val="none" w:sz="0" w:space="0" w:color="auto"/>
                                                                                          </w:divBdr>
                                                                                          <w:divsChild>
                                                                                            <w:div w:id="721443548">
                                                                                              <w:marLeft w:val="0"/>
                                                                                              <w:marRight w:val="0"/>
                                                                                              <w:marTop w:val="0"/>
                                                                                              <w:marBottom w:val="0"/>
                                                                                              <w:divBdr>
                                                                                                <w:top w:val="none" w:sz="0" w:space="0" w:color="auto"/>
                                                                                                <w:left w:val="none" w:sz="0" w:space="0" w:color="auto"/>
                                                                                                <w:bottom w:val="none" w:sz="0" w:space="0" w:color="auto"/>
                                                                                                <w:right w:val="none" w:sz="0" w:space="0" w:color="auto"/>
                                                                                              </w:divBdr>
                                                                                              <w:divsChild>
                                                                                                <w:div w:id="335183862">
                                                                                                  <w:marLeft w:val="0"/>
                                                                                                  <w:marRight w:val="0"/>
                                                                                                  <w:marTop w:val="0"/>
                                                                                                  <w:marBottom w:val="0"/>
                                                                                                  <w:divBdr>
                                                                                                    <w:top w:val="none" w:sz="0" w:space="0" w:color="auto"/>
                                                                                                    <w:left w:val="none" w:sz="0" w:space="0" w:color="auto"/>
                                                                                                    <w:bottom w:val="none" w:sz="0" w:space="0" w:color="auto"/>
                                                                                                    <w:right w:val="none" w:sz="0" w:space="0" w:color="auto"/>
                                                                                                  </w:divBdr>
                                                                                                  <w:divsChild>
                                                                                                    <w:div w:id="1001004508">
                                                                                                      <w:marLeft w:val="0"/>
                                                                                                      <w:marRight w:val="0"/>
                                                                                                      <w:marTop w:val="0"/>
                                                                                                      <w:marBottom w:val="0"/>
                                                                                                      <w:divBdr>
                                                                                                        <w:top w:val="none" w:sz="0" w:space="0" w:color="auto"/>
                                                                                                        <w:left w:val="none" w:sz="0" w:space="0" w:color="auto"/>
                                                                                                        <w:bottom w:val="none" w:sz="0" w:space="0" w:color="auto"/>
                                                                                                        <w:right w:val="none" w:sz="0" w:space="0" w:color="auto"/>
                                                                                                      </w:divBdr>
                                                                                                      <w:divsChild>
                                                                                                        <w:div w:id="1949241423">
                                                                                                          <w:marLeft w:val="0"/>
                                                                                                          <w:marRight w:val="0"/>
                                                                                                          <w:marTop w:val="0"/>
                                                                                                          <w:marBottom w:val="0"/>
                                                                                                          <w:divBdr>
                                                                                                            <w:top w:val="none" w:sz="0" w:space="0" w:color="auto"/>
                                                                                                            <w:left w:val="none" w:sz="0" w:space="0" w:color="auto"/>
                                                                                                            <w:bottom w:val="none" w:sz="0" w:space="0" w:color="auto"/>
                                                                                                            <w:right w:val="none" w:sz="0" w:space="0" w:color="auto"/>
                                                                                                          </w:divBdr>
                                                                                                          <w:divsChild>
                                                                                                            <w:div w:id="2623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941654">
      <w:bodyDiv w:val="1"/>
      <w:marLeft w:val="0"/>
      <w:marRight w:val="0"/>
      <w:marTop w:val="0"/>
      <w:marBottom w:val="0"/>
      <w:divBdr>
        <w:top w:val="none" w:sz="0" w:space="0" w:color="auto"/>
        <w:left w:val="none" w:sz="0" w:space="0" w:color="auto"/>
        <w:bottom w:val="none" w:sz="0" w:space="0" w:color="auto"/>
        <w:right w:val="none" w:sz="0" w:space="0" w:color="auto"/>
      </w:divBdr>
    </w:div>
    <w:div w:id="275983364">
      <w:bodyDiv w:val="1"/>
      <w:marLeft w:val="0"/>
      <w:marRight w:val="0"/>
      <w:marTop w:val="0"/>
      <w:marBottom w:val="0"/>
      <w:divBdr>
        <w:top w:val="none" w:sz="0" w:space="0" w:color="auto"/>
        <w:left w:val="none" w:sz="0" w:space="0" w:color="auto"/>
        <w:bottom w:val="none" w:sz="0" w:space="0" w:color="auto"/>
        <w:right w:val="none" w:sz="0" w:space="0" w:color="auto"/>
      </w:divBdr>
    </w:div>
    <w:div w:id="394285312">
      <w:bodyDiv w:val="1"/>
      <w:marLeft w:val="0"/>
      <w:marRight w:val="0"/>
      <w:marTop w:val="0"/>
      <w:marBottom w:val="0"/>
      <w:divBdr>
        <w:top w:val="none" w:sz="0" w:space="0" w:color="auto"/>
        <w:left w:val="none" w:sz="0" w:space="0" w:color="auto"/>
        <w:bottom w:val="none" w:sz="0" w:space="0" w:color="auto"/>
        <w:right w:val="none" w:sz="0" w:space="0" w:color="auto"/>
      </w:divBdr>
      <w:divsChild>
        <w:div w:id="496919886">
          <w:marLeft w:val="547"/>
          <w:marRight w:val="0"/>
          <w:marTop w:val="0"/>
          <w:marBottom w:val="0"/>
          <w:divBdr>
            <w:top w:val="none" w:sz="0" w:space="0" w:color="auto"/>
            <w:left w:val="none" w:sz="0" w:space="0" w:color="auto"/>
            <w:bottom w:val="none" w:sz="0" w:space="0" w:color="auto"/>
            <w:right w:val="none" w:sz="0" w:space="0" w:color="auto"/>
          </w:divBdr>
        </w:div>
      </w:divsChild>
    </w:div>
    <w:div w:id="423109448">
      <w:bodyDiv w:val="1"/>
      <w:marLeft w:val="0"/>
      <w:marRight w:val="0"/>
      <w:marTop w:val="0"/>
      <w:marBottom w:val="0"/>
      <w:divBdr>
        <w:top w:val="none" w:sz="0" w:space="0" w:color="auto"/>
        <w:left w:val="none" w:sz="0" w:space="0" w:color="auto"/>
        <w:bottom w:val="none" w:sz="0" w:space="0" w:color="auto"/>
        <w:right w:val="none" w:sz="0" w:space="0" w:color="auto"/>
      </w:divBdr>
      <w:divsChild>
        <w:div w:id="1656109844">
          <w:marLeft w:val="547"/>
          <w:marRight w:val="0"/>
          <w:marTop w:val="0"/>
          <w:marBottom w:val="0"/>
          <w:divBdr>
            <w:top w:val="none" w:sz="0" w:space="0" w:color="auto"/>
            <w:left w:val="none" w:sz="0" w:space="0" w:color="auto"/>
            <w:bottom w:val="none" w:sz="0" w:space="0" w:color="auto"/>
            <w:right w:val="none" w:sz="0" w:space="0" w:color="auto"/>
          </w:divBdr>
        </w:div>
      </w:divsChild>
    </w:div>
    <w:div w:id="611858081">
      <w:bodyDiv w:val="1"/>
      <w:marLeft w:val="0"/>
      <w:marRight w:val="0"/>
      <w:marTop w:val="0"/>
      <w:marBottom w:val="0"/>
      <w:divBdr>
        <w:top w:val="none" w:sz="0" w:space="0" w:color="auto"/>
        <w:left w:val="none" w:sz="0" w:space="0" w:color="auto"/>
        <w:bottom w:val="none" w:sz="0" w:space="0" w:color="auto"/>
        <w:right w:val="none" w:sz="0" w:space="0" w:color="auto"/>
      </w:divBdr>
      <w:divsChild>
        <w:div w:id="266541896">
          <w:marLeft w:val="547"/>
          <w:marRight w:val="0"/>
          <w:marTop w:val="0"/>
          <w:marBottom w:val="0"/>
          <w:divBdr>
            <w:top w:val="none" w:sz="0" w:space="0" w:color="auto"/>
            <w:left w:val="none" w:sz="0" w:space="0" w:color="auto"/>
            <w:bottom w:val="none" w:sz="0" w:space="0" w:color="auto"/>
            <w:right w:val="none" w:sz="0" w:space="0" w:color="auto"/>
          </w:divBdr>
        </w:div>
      </w:divsChild>
    </w:div>
    <w:div w:id="652300618">
      <w:bodyDiv w:val="1"/>
      <w:marLeft w:val="0"/>
      <w:marRight w:val="0"/>
      <w:marTop w:val="0"/>
      <w:marBottom w:val="0"/>
      <w:divBdr>
        <w:top w:val="none" w:sz="0" w:space="0" w:color="auto"/>
        <w:left w:val="none" w:sz="0" w:space="0" w:color="auto"/>
        <w:bottom w:val="none" w:sz="0" w:space="0" w:color="auto"/>
        <w:right w:val="none" w:sz="0" w:space="0" w:color="auto"/>
      </w:divBdr>
      <w:divsChild>
        <w:div w:id="74016649">
          <w:marLeft w:val="547"/>
          <w:marRight w:val="0"/>
          <w:marTop w:val="0"/>
          <w:marBottom w:val="0"/>
          <w:divBdr>
            <w:top w:val="none" w:sz="0" w:space="0" w:color="auto"/>
            <w:left w:val="none" w:sz="0" w:space="0" w:color="auto"/>
            <w:bottom w:val="none" w:sz="0" w:space="0" w:color="auto"/>
            <w:right w:val="none" w:sz="0" w:space="0" w:color="auto"/>
          </w:divBdr>
        </w:div>
      </w:divsChild>
    </w:div>
    <w:div w:id="823738993">
      <w:bodyDiv w:val="1"/>
      <w:marLeft w:val="0"/>
      <w:marRight w:val="0"/>
      <w:marTop w:val="0"/>
      <w:marBottom w:val="0"/>
      <w:divBdr>
        <w:top w:val="none" w:sz="0" w:space="0" w:color="auto"/>
        <w:left w:val="none" w:sz="0" w:space="0" w:color="auto"/>
        <w:bottom w:val="none" w:sz="0" w:space="0" w:color="auto"/>
        <w:right w:val="none" w:sz="0" w:space="0" w:color="auto"/>
      </w:divBdr>
      <w:divsChild>
        <w:div w:id="1932854410">
          <w:marLeft w:val="547"/>
          <w:marRight w:val="0"/>
          <w:marTop w:val="0"/>
          <w:marBottom w:val="0"/>
          <w:divBdr>
            <w:top w:val="none" w:sz="0" w:space="0" w:color="auto"/>
            <w:left w:val="none" w:sz="0" w:space="0" w:color="auto"/>
            <w:bottom w:val="none" w:sz="0" w:space="0" w:color="auto"/>
            <w:right w:val="none" w:sz="0" w:space="0" w:color="auto"/>
          </w:divBdr>
        </w:div>
      </w:divsChild>
    </w:div>
    <w:div w:id="1306084236">
      <w:bodyDiv w:val="1"/>
      <w:marLeft w:val="0"/>
      <w:marRight w:val="0"/>
      <w:marTop w:val="0"/>
      <w:marBottom w:val="0"/>
      <w:divBdr>
        <w:top w:val="none" w:sz="0" w:space="0" w:color="auto"/>
        <w:left w:val="none" w:sz="0" w:space="0" w:color="auto"/>
        <w:bottom w:val="none" w:sz="0" w:space="0" w:color="auto"/>
        <w:right w:val="none" w:sz="0" w:space="0" w:color="auto"/>
      </w:divBdr>
      <w:divsChild>
        <w:div w:id="729041620">
          <w:marLeft w:val="547"/>
          <w:marRight w:val="0"/>
          <w:marTop w:val="0"/>
          <w:marBottom w:val="0"/>
          <w:divBdr>
            <w:top w:val="none" w:sz="0" w:space="0" w:color="auto"/>
            <w:left w:val="none" w:sz="0" w:space="0" w:color="auto"/>
            <w:bottom w:val="none" w:sz="0" w:space="0" w:color="auto"/>
            <w:right w:val="none" w:sz="0" w:space="0" w:color="auto"/>
          </w:divBdr>
        </w:div>
      </w:divsChild>
    </w:div>
    <w:div w:id="1319186303">
      <w:bodyDiv w:val="1"/>
      <w:marLeft w:val="0"/>
      <w:marRight w:val="0"/>
      <w:marTop w:val="0"/>
      <w:marBottom w:val="0"/>
      <w:divBdr>
        <w:top w:val="none" w:sz="0" w:space="0" w:color="auto"/>
        <w:left w:val="none" w:sz="0" w:space="0" w:color="auto"/>
        <w:bottom w:val="none" w:sz="0" w:space="0" w:color="auto"/>
        <w:right w:val="none" w:sz="0" w:space="0" w:color="auto"/>
      </w:divBdr>
      <w:divsChild>
        <w:div w:id="1971739560">
          <w:marLeft w:val="547"/>
          <w:marRight w:val="0"/>
          <w:marTop w:val="0"/>
          <w:marBottom w:val="0"/>
          <w:divBdr>
            <w:top w:val="none" w:sz="0" w:space="0" w:color="auto"/>
            <w:left w:val="none" w:sz="0" w:space="0" w:color="auto"/>
            <w:bottom w:val="none" w:sz="0" w:space="0" w:color="auto"/>
            <w:right w:val="none" w:sz="0" w:space="0" w:color="auto"/>
          </w:divBdr>
        </w:div>
      </w:divsChild>
    </w:div>
    <w:div w:id="1600871917">
      <w:bodyDiv w:val="1"/>
      <w:marLeft w:val="0"/>
      <w:marRight w:val="0"/>
      <w:marTop w:val="0"/>
      <w:marBottom w:val="0"/>
      <w:divBdr>
        <w:top w:val="none" w:sz="0" w:space="0" w:color="auto"/>
        <w:left w:val="none" w:sz="0" w:space="0" w:color="auto"/>
        <w:bottom w:val="none" w:sz="0" w:space="0" w:color="auto"/>
        <w:right w:val="none" w:sz="0" w:space="0" w:color="auto"/>
      </w:divBdr>
      <w:divsChild>
        <w:div w:id="1104110027">
          <w:marLeft w:val="547"/>
          <w:marRight w:val="0"/>
          <w:marTop w:val="0"/>
          <w:marBottom w:val="0"/>
          <w:divBdr>
            <w:top w:val="none" w:sz="0" w:space="0" w:color="auto"/>
            <w:left w:val="none" w:sz="0" w:space="0" w:color="auto"/>
            <w:bottom w:val="none" w:sz="0" w:space="0" w:color="auto"/>
            <w:right w:val="none" w:sz="0" w:space="0" w:color="auto"/>
          </w:divBdr>
        </w:div>
      </w:divsChild>
    </w:div>
    <w:div w:id="1672904627">
      <w:bodyDiv w:val="1"/>
      <w:marLeft w:val="0"/>
      <w:marRight w:val="0"/>
      <w:marTop w:val="0"/>
      <w:marBottom w:val="0"/>
      <w:divBdr>
        <w:top w:val="none" w:sz="0" w:space="0" w:color="auto"/>
        <w:left w:val="none" w:sz="0" w:space="0" w:color="auto"/>
        <w:bottom w:val="none" w:sz="0" w:space="0" w:color="auto"/>
        <w:right w:val="none" w:sz="0" w:space="0" w:color="auto"/>
      </w:divBdr>
      <w:divsChild>
        <w:div w:id="1896425991">
          <w:marLeft w:val="547"/>
          <w:marRight w:val="0"/>
          <w:marTop w:val="0"/>
          <w:marBottom w:val="0"/>
          <w:divBdr>
            <w:top w:val="none" w:sz="0" w:space="0" w:color="auto"/>
            <w:left w:val="none" w:sz="0" w:space="0" w:color="auto"/>
            <w:bottom w:val="none" w:sz="0" w:space="0" w:color="auto"/>
            <w:right w:val="none" w:sz="0" w:space="0" w:color="auto"/>
          </w:divBdr>
        </w:div>
      </w:divsChild>
    </w:div>
    <w:div w:id="1705011060">
      <w:bodyDiv w:val="1"/>
      <w:marLeft w:val="0"/>
      <w:marRight w:val="0"/>
      <w:marTop w:val="0"/>
      <w:marBottom w:val="0"/>
      <w:divBdr>
        <w:top w:val="none" w:sz="0" w:space="0" w:color="auto"/>
        <w:left w:val="none" w:sz="0" w:space="0" w:color="auto"/>
        <w:bottom w:val="none" w:sz="0" w:space="0" w:color="auto"/>
        <w:right w:val="none" w:sz="0" w:space="0" w:color="auto"/>
      </w:divBdr>
      <w:divsChild>
        <w:div w:id="711227400">
          <w:marLeft w:val="547"/>
          <w:marRight w:val="0"/>
          <w:marTop w:val="0"/>
          <w:marBottom w:val="0"/>
          <w:divBdr>
            <w:top w:val="none" w:sz="0" w:space="0" w:color="auto"/>
            <w:left w:val="none" w:sz="0" w:space="0" w:color="auto"/>
            <w:bottom w:val="none" w:sz="0" w:space="0" w:color="auto"/>
            <w:right w:val="none" w:sz="0" w:space="0" w:color="auto"/>
          </w:divBdr>
        </w:div>
      </w:divsChild>
    </w:div>
    <w:div w:id="1984458400">
      <w:bodyDiv w:val="1"/>
      <w:marLeft w:val="0"/>
      <w:marRight w:val="0"/>
      <w:marTop w:val="0"/>
      <w:marBottom w:val="0"/>
      <w:divBdr>
        <w:top w:val="none" w:sz="0" w:space="0" w:color="auto"/>
        <w:left w:val="none" w:sz="0" w:space="0" w:color="auto"/>
        <w:bottom w:val="none" w:sz="0" w:space="0" w:color="auto"/>
        <w:right w:val="none" w:sz="0" w:space="0" w:color="auto"/>
      </w:divBdr>
      <w:divsChild>
        <w:div w:id="215197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khloud\LOCALS~1\Temp\notesBAAA25\Policy%20Template%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65F9D-F74D-40DB-AD5C-73745F4F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Final.dot</Template>
  <TotalTime>0</TotalTime>
  <Pages>22</Pages>
  <Words>5690</Words>
  <Characters>31434</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makhloud</dc:creator>
  <cp:lastModifiedBy>Mark Egan</cp:lastModifiedBy>
  <cp:revision>2</cp:revision>
  <cp:lastPrinted>2017-06-22T23:57:00Z</cp:lastPrinted>
  <dcterms:created xsi:type="dcterms:W3CDTF">2017-07-09T23:29:00Z</dcterms:created>
  <dcterms:modified xsi:type="dcterms:W3CDTF">2017-07-09T23:29:00Z</dcterms:modified>
</cp:coreProperties>
</file>